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ԱԱԾ-ՏՆՏՎ-ԷԱՃ-1/19-դիզելային վառելիք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летнего дизельного топлива для нужд СНБ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900011301067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