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ՆԲԿ-ԷԱՃ-ԱՊՁԲ-2019/04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ՆԲԿ-ԷԱՃ-ԱՊՁԲ-2019/04    приобретение кода и аксессуаров;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