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2018.11.27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ՎՕԳԿ-ԷԱՃԱՊԾԲ-03/12/2018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ՎՆԱՍՎԱԾՔԱԲԱՆՈՒԹՅԱՆ ԵՎ ՕՐԹՈՊԵԴԻԱՅԻ ԳԻՏԱԿԱՆ ԿԵՆՏՐՈՆ ՓԲԸ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Ք.Երևան, Նորք 9փ., 123 շենք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Закупка полиграфических услуг для ЗАО «Научный центр травматологии и ортопедии» на 2019 год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ԱրարատԲանկ ԲԲԸ 1510003044290100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12:00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8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ՎՆԱՍՎԱԾՔԱԲԱՆՈՒԹՅԱՆ ԵՎ ՕՐԹՈՊԵԴԻԱՅԻ ԳԻՏԱԿԱՆ ԿԵՆՏՐՈՆ ՓԲԸ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