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2018.11.22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ԷԱՃԾՁԲ-ԱԻՆ-18/14</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արտակարգ իրավիճակների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Դավիթաշեն 4-րդ թաղ., Ա.Միկոյան 109-8</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Procurement of polygraphic printing services for the needs of the Ministry of Emergency Situations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11:30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ՖՆ գործառնական վարչություն 900011001352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11:30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11:30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արտակարգ իրավիճակների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