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2018.11.28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ԵՊՀ-ԷԱԾՁԲ-18/120</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ԵՐԵՎԱՆԻ ՊԵՏԱԿԱՆ ՀԱՄԱԼՍԱՐԱՆ ՀԻՄՆԱԴՐԱՄ</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Acquisition of Internet Connection Service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16:00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ԱՇԻԲ բանկ 247010000906</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16:00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16:00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ԵՐԵՎԱՆԻ ՊԵՏԱԿԱՆ ՀԱՄԱԼՍԱՐԱՆ ՀԻՄՆԱԴՐԱՄ</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