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2018.12.28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ՀՀ-ՊԵԿ-ԷԱՃԱՊՁԲ-(18/2-Լ)</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պետական եկամուտների կոմիտե»</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ք.Երևան, Մովսես Խորենացու 3,7</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The invitation and announcement for the purchase of computer equipment for the needs of the RA State Revenue Committee HH-PEK-EACHAPDzB-(18/2-L)</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13</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ՖՆ աշխատակազմի գործառնական վարչություն 900005000758</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13</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13</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պետական եկամուտների կոմիտե»</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