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ՇՄԳՄՄԱՀ-ԷԱՃԱՊՁԲ-19/15-1</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ՄՈՐ ԵՎ ՄԱՆԿԱՆ ԱՎՍՏՐԻԱԿԱՆ ՀԻՎԱՆԴԱՆՈՑ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ք.Գյումրի, Գարեգին Նժդեհի 5</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Գյումրու մոր և մանկան ավստրիական հիվանդանոց ՓԲԸ-ի կարիքների համար ՇՄԳՄՄԱՀ-ԷԱՃԱՊՁԲ-19/15-1 ծածկագրով քիմիական նյութերի ձեռքբերում</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09:50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11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Ինեկոբանկ Գյումրու մասնաճյուղ 2050123000211001</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09:50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09:50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11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ՄՈՐ ԵՎ ՄԱՆԿԱՆ ԱՎՍՏՐԻԱԿԱՆ ՀԻՎԱՆԴԱՆՈՑ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