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1</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2018.12.10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ՀՀ ՊՆ ՆՏԱԴ-ԷԱՃԱՊՁԲ-9/20</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ՀՀ պաշտպանության նախարարություն</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Բագրևանդի 5</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Announcement about an e-auction. E-auctions code: HH PN NTAD-EACHAPDZB-9/20</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10:30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8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ՀՀ ՖՆ գործառնական վարչություն 900011144079</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10:30</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10:30</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ՀՀ պաշտպանության նախարարություն</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