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2018.10.25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ՊՆ ՆՏԱԴ-ԷԱՃԾՁԲ-12/1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ЭЛЕКТРОННОМ АУКЦИОНЕ МО РА ДМТО-ЭАЧТСЗБ-12/1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պաշտպանության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