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ԵՔ-ԷԱՃԱՊՁԲ-19/91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Արգիշտիի փող.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ԵՔ-ԷԱՃԱՊՁԲ-19/91) по приобретению мебельи для детского сада для нужд Мэрии г. Еревана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247010087184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