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ՀՀ-ՏՄԴՀ-ԷԱՃԾՁԲ-19/1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Տավուշի մարզի Դիլիջանի քաղաքապետարան </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NOTICE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15:00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25000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ֆինանսների նախարարության գործառնական վարչություն 9004021320022</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15:00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15:00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Տավուշի մարզի Դիլիջանի քաղաքապետարան </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