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2</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2019.01.24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ՀԱՊԱԿ-ԷԱՃ-ԾՁԲ-19/1</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ՀՈԳԵԿԱՆ ԱՌՈՂՋՈՒԹՅԱՆ ՊԱՀՊԱՆՄԱՆ ԱԶԳԱՅԻՆ ԿԵՆՏՐՈՆ ՓԲԸ </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ք. Երևան, Նուբարաշեն 1/3</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Invitation</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10:00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8</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ՀԱՅԷԿՈՆՈՄԲԱՆԿ   ՓԲԸ  Նորք  մ ճ 163478007624</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10:00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8</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10:00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8</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ՀՈԳԵԿԱՆ ԱՌՈՂՋՈՒԹՅԱՆ ՊԱՀՊԱՆՄԱՆ ԱԶԳԱՅԻՆ ԿԵՆՏՐՈՆ ՓԲԸ </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