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2018.08.21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ՀՀ-ՊԵԿ-ԷԱՃԱՇՁԲ-(18/1-Կ)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Код электронного аукциона HH-PEK-EAChAShDzB-(18/1-К)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11:00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900011054013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11:00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11:00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