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ԳԾ-ԷԱՃՊՁԲ-2019-5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Գյումրի, Կոշտոյան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Конкурс с кодом  ԳԾ-ԷԱՃՊՁԲ-2019-5 Гюмрийского Роддома для покупок моющих средств, гигиенических пренодлежностей, хозяйственных товаров и офисных пренодлежностей.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ՓԲԸ 2050123000131001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