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ՀԾԿՀ-19/2-ԷԱՃԱՊՁԲ</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հանրային ծառայությունները կարգավորող հանձնաժողով</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Սարյան 22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Announsement for stationery and office materials acquisition with ՀԾԿՀ-19/2-ԷԱՃԱՊՁԲ code for needs of Public Services Regulatory Commission of the RA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900011183010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հանրային ծառայությունները կարգավորող հանձնաժողով</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