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2019.01.31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ԱՍՀՆ-ՊՈԱԿ-ԷԱՃԱՊՁԲ-19/1-Շ-5-4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on food supply for the needs of the Ministry of Labor and Social Affairs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