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4B30C3" w:rsidRDefault="009C709E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r>
        <w:rPr>
          <w:color w:val="546E7A"/>
          <w:sz w:val="27"/>
          <w:szCs w:val="27"/>
          <w:shd w:val="clear" w:color="auto" w:fill="ECEFF1"/>
        </w:rPr>
        <w:t>ԷԱՃԱՊՁԲ</w:t>
      </w:r>
      <w:r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>-2025/7-2-</w:t>
      </w:r>
      <w:r>
        <w:rPr>
          <w:color w:val="546E7A"/>
          <w:sz w:val="27"/>
          <w:szCs w:val="27"/>
          <w:shd w:val="clear" w:color="auto" w:fill="ECEFF1"/>
        </w:rPr>
        <w:t>ԵՊԲՀ</w:t>
      </w:r>
      <w:r>
        <w:rPr>
          <w:spacing w:val="-8"/>
          <w:sz w:val="23"/>
          <w:szCs w:val="23"/>
        </w:rPr>
        <w:t xml:space="preserve"> </w:t>
      </w:r>
      <w:proofErr w:type="spellStart"/>
      <w:r w:rsidR="00E57ECE"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9C709E">
      <w:pPr>
        <w:pStyle w:val="BodyText"/>
        <w:spacing w:before="10"/>
        <w:ind w:right="1752"/>
        <w:jc w:val="center"/>
      </w:pPr>
      <w:r>
        <w:rPr>
          <w:color w:val="546E7A"/>
          <w:sz w:val="27"/>
          <w:szCs w:val="27"/>
          <w:shd w:val="clear" w:color="auto" w:fill="ECEFF1"/>
        </w:rPr>
        <w:t>ԷԱՃԱՊՁԲ</w:t>
      </w:r>
      <w:r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>-2025/7-2-</w:t>
      </w:r>
      <w:r>
        <w:rPr>
          <w:color w:val="546E7A"/>
          <w:sz w:val="27"/>
          <w:szCs w:val="27"/>
          <w:shd w:val="clear" w:color="auto" w:fill="ECEFF1"/>
        </w:rPr>
        <w:t>ԵՊԲՀ</w:t>
      </w:r>
      <w:r>
        <w:rPr>
          <w:spacing w:val="-6"/>
        </w:rPr>
        <w:t xml:space="preserve"> </w:t>
      </w:r>
      <w:proofErr w:type="gramStart"/>
      <w:r w:rsidR="00E57ECE">
        <w:rPr>
          <w:spacing w:val="-6"/>
        </w:rPr>
        <w:t>ծածկագրովհայտարարվածէլեկտրոնայինաճուրդիընթացակարգի(</w:t>
      </w:r>
      <w:proofErr w:type="gramEnd"/>
      <w:r w:rsidR="00E57ECE">
        <w:rPr>
          <w:spacing w:val="-6"/>
        </w:rPr>
        <w:t>այսուհետ՝ընթացակարգ)1</w:t>
      </w:r>
      <w:r w:rsidR="00145B8B" w:rsidRPr="00145B8B">
        <w:rPr>
          <w:spacing w:val="-6"/>
        </w:rPr>
        <w:t>-</w:t>
      </w:r>
      <w:r w:rsidRPr="009C709E">
        <w:rPr>
          <w:spacing w:val="-6"/>
        </w:rPr>
        <w:t>67</w:t>
      </w:r>
      <w:r w:rsidR="009E7155">
        <w:rPr>
          <w:spacing w:val="-6"/>
        </w:rPr>
        <w:t>,</w:t>
      </w:r>
      <w:r w:rsidR="00EE3A2E">
        <w:rPr>
          <w:spacing w:val="-6"/>
        </w:rPr>
        <w:t xml:space="preserve"> </w:t>
      </w:r>
      <w:proofErr w:type="spellStart"/>
      <w:r w:rsidR="00E57ECE">
        <w:rPr>
          <w:spacing w:val="-6"/>
        </w:rPr>
        <w:t>չափաբաժնին</w:t>
      </w:r>
      <w:proofErr w:type="spellEnd"/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EA073B">
      <w:pPr>
        <w:pStyle w:val="BodyText"/>
        <w:spacing w:line="20" w:lineRule="exact"/>
        <w:ind w:left="1440"/>
        <w:rPr>
          <w:sz w:val="2"/>
        </w:rPr>
      </w:pPr>
      <w:r w:rsidRPr="00EA073B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EA073B">
      <w:pPr>
        <w:pStyle w:val="BodyText"/>
        <w:spacing w:before="6"/>
        <w:rPr>
          <w:sz w:val="4"/>
        </w:rPr>
      </w:pPr>
      <w:r w:rsidRPr="00EA073B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154FBA" w:rsidRPr="00C017BE" w:rsidRDefault="00EA073B" w:rsidP="0040280C">
      <w:pPr>
        <w:jc w:val="center"/>
        <w:rPr>
          <w:rStyle w:val="Emphasis"/>
        </w:rPr>
      </w:pPr>
      <w:r w:rsidRPr="00EA073B">
        <w:pict>
          <v:shape id="docshape6" o:spid="_x0000_s1029" style="position:absolute;left:0;text-align:left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r w:rsidR="00E57ECE">
        <w:rPr>
          <w:spacing w:val="-8"/>
          <w:sz w:val="23"/>
          <w:szCs w:val="23"/>
        </w:rPr>
        <w:t>բավարարումեն</w:t>
      </w:r>
      <w:proofErr w:type="spellEnd"/>
      <w:r w:rsidR="00F65CB1" w:rsidRPr="00C017BE">
        <w:t xml:space="preserve"> </w:t>
      </w:r>
      <w:r w:rsidR="00FC604B" w:rsidRPr="00EA073B">
        <w:rPr>
          <w:rStyle w:val="Emphasis"/>
        </w:rPr>
        <w:pict>
          <v:rect id="docshape1" o:spid="_x0000_s1039" style="position:absolute;left:0;text-align:left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FC604B" w:rsidRPr="00817645">
        <w:rPr>
          <w:rStyle w:val="Emphasis"/>
        </w:rPr>
        <w:t xml:space="preserve">                                                   </w:t>
      </w:r>
      <w:r w:rsidR="009C709E">
        <w:rPr>
          <w:color w:val="546E7A"/>
          <w:sz w:val="27"/>
          <w:szCs w:val="27"/>
          <w:shd w:val="clear" w:color="auto" w:fill="ECEFF1"/>
        </w:rPr>
        <w:t>ԷԱՃԱՊՁԲ</w:t>
      </w:r>
      <w:r w:rsidR="009C709E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>-2025/7-2-</w:t>
      </w:r>
      <w:r w:rsidR="009C709E">
        <w:rPr>
          <w:color w:val="546E7A"/>
          <w:sz w:val="27"/>
          <w:szCs w:val="27"/>
          <w:shd w:val="clear" w:color="auto" w:fill="ECEFF1"/>
        </w:rPr>
        <w:t>ԵՊԲՀ</w:t>
      </w:r>
    </w:p>
    <w:p w:rsidR="00FC604B" w:rsidRPr="00C017BE" w:rsidRDefault="00FC604B" w:rsidP="00154FBA">
      <w:pPr>
        <w:rPr>
          <w:rStyle w:val="Emphasis"/>
        </w:rPr>
      </w:pPr>
    </w:p>
    <w:p w:rsidR="004B30C3" w:rsidRDefault="004B30C3">
      <w:pPr>
        <w:spacing w:line="296" w:lineRule="exact"/>
        <w:ind w:left="234"/>
        <w:rPr>
          <w:sz w:val="23"/>
          <w:szCs w:val="23"/>
        </w:rPr>
      </w:pPr>
    </w:p>
    <w:p w:rsidR="004B30C3" w:rsidRDefault="00EA073B">
      <w:pPr>
        <w:pStyle w:val="BodyText"/>
        <w:spacing w:line="20" w:lineRule="exact"/>
        <w:ind w:left="6238"/>
        <w:rPr>
          <w:sz w:val="2"/>
        </w:rPr>
      </w:pPr>
      <w:r w:rsidRPr="00EA073B">
        <w:rPr>
          <w:sz w:val="2"/>
        </w:rPr>
      </w:r>
      <w:r>
        <w:rPr>
          <w:sz w:val="2"/>
        </w:rPr>
        <w:pict>
          <v:group id="docshapegroup7" o:spid="_x0000_s1027" style="width:2.15pt;height:.7pt;mso-position-horizontal-relative:char;mso-position-vertical-relative:line" coordsize="43,14">
            <v:rect id="docshape8" o:spid="_x0000_s1028" style="position:absolute;width:43;height:14" fillcolor="black" stroked="f"/>
            <w10:wrap type="none"/>
            <w10:anchorlock/>
          </v:group>
        </w:pict>
      </w: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EA073B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EA073B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C9B"/>
    <w:rsid w:val="000828E5"/>
    <w:rsid w:val="000D1711"/>
    <w:rsid w:val="00145B8B"/>
    <w:rsid w:val="00154FBA"/>
    <w:rsid w:val="001A26E2"/>
    <w:rsid w:val="001C3898"/>
    <w:rsid w:val="00397F9D"/>
    <w:rsid w:val="003A544D"/>
    <w:rsid w:val="0040280C"/>
    <w:rsid w:val="00421249"/>
    <w:rsid w:val="00497E07"/>
    <w:rsid w:val="004B30C3"/>
    <w:rsid w:val="005536DB"/>
    <w:rsid w:val="005667D7"/>
    <w:rsid w:val="006255D7"/>
    <w:rsid w:val="006D4523"/>
    <w:rsid w:val="007B52AA"/>
    <w:rsid w:val="007F42CF"/>
    <w:rsid w:val="00817645"/>
    <w:rsid w:val="009C709E"/>
    <w:rsid w:val="009E7155"/>
    <w:rsid w:val="00AE7033"/>
    <w:rsid w:val="00B179C2"/>
    <w:rsid w:val="00C017BE"/>
    <w:rsid w:val="00C86E39"/>
    <w:rsid w:val="00E329C4"/>
    <w:rsid w:val="00E57ECE"/>
    <w:rsid w:val="00E7303C"/>
    <w:rsid w:val="00EA073B"/>
    <w:rsid w:val="00EE3A2E"/>
    <w:rsid w:val="00F65CB1"/>
    <w:rsid w:val="00FB61D4"/>
    <w:rsid w:val="00FB6E55"/>
    <w:rsid w:val="00FC6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2025-03-17T04:53:00Z</dcterms:created>
  <dcterms:modified xsi:type="dcterms:W3CDTF">2025-03-17T04:53:00Z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