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ՀՀ Ո ԷԱՃԱՊՁԲ-ՍՎԻՏԵՐ/2022/Հ-34</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Полиция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полиции Республики Армения преобретение свитеров под кодом ՀՀ Ո ԷԱՃԱՊՁԲ-ՍՎԻՏԵՐ/2022/Հ-34</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police_gnumner@police.am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010596632</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Полиция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Ո ԷԱՃԱՊՁԲ-ՍՎԻՏԵՐ/2022/Հ-34</w:t>
      </w:r>
      <w:r>
        <w:rPr>
          <w:rFonts w:ascii="Calibri" w:hAnsi="Calibri" w:cstheme="minorHAnsi"/>
          <w:i/>
        </w:rPr>
        <w:br/>
      </w:r>
      <w:r>
        <w:rPr>
          <w:rFonts w:ascii="Calibri" w:hAnsi="Calibri" w:cstheme="minorHAnsi"/>
          <w:szCs w:val="20"/>
          <w:lang w:val="af-ZA"/>
        </w:rPr>
        <w:t>2022.02.25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Полиция РА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Полиция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полиции Республики Армения преобретение свитеров под кодом ՀՀ Ո ԷԱՃԱՊՁԲ-ՍՎԻՏԵՐ/2022/Հ-34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полиции Республики Армения преобретение свитеров под кодом ՀՀ Ո ԷԱՃԱՊՁԲ-ՍՎԻՏԵՐ/2022/Հ-34</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Полиция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Ո ԷԱՃԱՊՁԲ-ՍՎԻՏԵՐ/2022/Հ-34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police_gnumner@police.am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полиции Республики Армения преобретение свитеров под кодом ՀՀ Ո ԷԱՃԱՊՁԲ-ՍՎԻՏԵՐ/2022/Հ-34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479.78</w:t>
      </w:r>
      <w:r>
        <w:rPr>
          <w:rFonts w:ascii="Calibri" w:hAnsi="Calibri" w:cstheme="minorHAnsi"/>
          <w:szCs w:val="22"/>
        </w:rPr>
        <w:t xml:space="preserve"> драмом, российский рубль </w:t>
      </w:r>
      <w:r>
        <w:rPr>
          <w:rFonts w:ascii="Calibri" w:hAnsi="Calibri" w:cstheme="minorHAnsi"/>
          <w:lang w:val="af-ZA"/>
        </w:rPr>
        <w:t>5.69</w:t>
      </w:r>
      <w:r>
        <w:rPr>
          <w:rFonts w:ascii="Calibri" w:hAnsi="Calibri" w:cstheme="minorHAnsi"/>
          <w:szCs w:val="22"/>
        </w:rPr>
        <w:t xml:space="preserve"> драмом, евро </w:t>
      </w:r>
      <w:r>
        <w:rPr>
          <w:rFonts w:ascii="Calibri" w:hAnsi="Calibri" w:cstheme="minorHAnsi"/>
          <w:lang w:val="af-ZA"/>
        </w:rPr>
        <w:t>537.55</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2022.03.09.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 Ո ԷԱՃԱՊՁԲ-ՍՎԻՏԵՐ/2022/Հ-34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Полиция РА</w:t>
      </w:r>
      <w:r>
        <w:rPr>
          <w:rFonts w:ascii="Calibri" w:hAnsi="Calibri" w:cstheme="minorHAnsi"/>
          <w:lang w:val="ru-RU"/>
        </w:rPr>
        <w:t xml:space="preserve"> под кодом </w:t>
      </w:r>
      <w:r>
        <w:rPr>
          <w:rFonts w:ascii="Calibri" w:hAnsi="Calibri" w:cstheme="minorHAnsi"/>
          <w:lang w:val="af-ZA"/>
        </w:rPr>
        <w:t>ՀՀ Ո ԷԱՃԱՊՁԲ-ՍՎԻՏԵՐ/2022/Հ-34</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 Ո ԷԱՃԱՊՁԲ-ՍՎԻՏԵՐ/2022/Հ-34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Ո ԷԱՃԱՊՁԲ-ՍՎԻՏԵՐ/2022/Հ-34"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Полиция РА*(далее — Заказчик) процедуре закупок под кодом ՀՀ Ո ԷԱՃԱՊՁԲ-ՍՎԻՏԵՐ/2022/Հ-34*.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Полиция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ԱԳ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Ո ԷԱՃԱՊՁԲ-ՍՎԻՏԵՐ/2022/Հ-34"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Полиция РА*(далее — Заказчик) процедуре закупок под кодом ՀՀ Ո ԷԱՃԱՊՁԲ-ՍՎԻՏԵՐ/2022/Հ-34*.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Полиция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ԱԳ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Ո ԷԱՃԱՊՁԲ-ՍՎԻՏԵՐ/2022/Հ-34</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ткани темно-синего цвета, 57% полиэстер, 28% шерсть и 15% акрил, плотность не менее 1 м2 480 г/м2. С круглым вырезом и двойным монжетом, с погонами, кладется в брюки. Тип ткани 2X2, на манжетах 1X1, длина манжетов 5-6 см. В нижней части свитера имеется манжет длинной 6 см. На плечи и локти крепится двойная ткань синего цвета, строчки- шахматные. На 60 мм ниже левого плеча нашивается эмблема Полиции РА, на 60 мм ниже правого плеча нашивается эмблема «Патрульная служба». В середине верхней части спины вышита надпись «ПОЛИЦИЯ» на английском, а на правой груди - надпись «Полиция» на армянском языке, а на левой стороне груди пришивается вставка нагрудного знака. Погоны сьемные. Фасовка в пакеты, по 10 штук в одном пакете, ассортимент - в прозрачный полиэтиленовый пакет, по 1 штуке в один пакет. Свитера имеют маркировку, на этикетках должны быть указаны размер ассортимента, название производителя, месяц и год выпуска. При необходимости заказчику предоставляется отчет о лабораторных испытаниях.  Образец и размеры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ул.Аршакунянца 77а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20 дней - 150штук, В течение 80 дней - 200штук, В течение  170 дней- 300 штук, В течение 260 дней- 350 штук, Но не позднее 20.12.22г.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