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 ԷԱՃԱՊՁԲ 22/99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պատվերով տպագրվող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 ԷԱՃԱՊՁԲ 22/99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պատվերով տպագրվող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պատվերով տպագրվող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 ԷԱՃԱՊՁԲ 22/99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պատվերով տպագրվող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2022.08.09.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 ԷԱՃԱՊՁԲ 22/99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 ԷԱՃԱՊՁԲ 22/99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 ԷԱՃԱՊՁԲ 22/99»*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 ԷԱՃԱՊՁԲ 22/99*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 ԷԱՃԱՊՁԲ 22/99»*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 ԷԱՃԱՊՁԲ 22/99*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ՎՊՀ ԷԱՃԱՊՁԲ 22/99</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դեկտեմբերի25-ը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__</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 կազմը կարմիր գույն,կոշտ կազմով, փակված վիճակում չափերը 10.5 x 14.5սմ, վրան ոսկեգույն տառերով գրված՝ ««Ստուգման գրքույկ»»:էջերի թուղթը լինի սպիտակ ՝  22էջ ից ոչ պակաս քոլեջի ,14էջից (8թերթիկ) ոչ պակաս մագիստրոսի ,24 էջից( 14թերթիկ) ոչ պակաս բակալավրի  և տպագրությունը՝ օֆսեթ ;Ներսի   տպագրության ենթակա բոլոր էջերի նմուշը կտրամադրվի կատարողին;    100 հատ  բակալավրի,100 հատ  մագիստրատուրայի,90 հատ  քոլեջի Տպագրության ենթակա բոլոր ֆայլերը կտրամադրվեն կատարողին: Ամբողջ քանակով տպագրությունը կիրականացվի  տպագրության նմուշները պատվիրատուի հետ համաձայնեցվելուց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տոմս-բակալավրի 200 հատ,մագիստրոս   60 հատ, կազմը կարմիր գույն,կոշտ կազմով,փակված վիճակում չափերը 7 x 9.5 սմ, վրան ոսկեգույն տառերով գրված՝«« Ուսանողական տոմս»»:Էջերի թուղթը լինի սպիտակ և տպագրությունը՝ օֆսեթ ,2էջ:Ներսի   տպագրության ենթակա բոլոր      էջերի նմուշը կտրամադրվի կատարողին;   Տպագրության ենթակա բոլոր ֆայլերը կտրամադրվեն կատարողին: Ամբողջ քանակով տպագրությունը կիրականացվի  տպագրության նմուշները պատվիրատուի հետ համաձայնեցվելուց հետո:Տպագրության ենթակա բոլոր ֆայլերը կտրամադրվեն կատարողին: Ամբողջ քանակով տպագրությունը կիրականացվի  տպագրության նմուշները պատվիրատուի հետ համաձայնեցվելուց հետո: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