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2022.08.22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ՀՊՀՖ-ԷԱՃԱՊՁԲ-22/43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«Фонд государственных интересов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Анрапетутян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Диана Мадоян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diana.madoyan@anif.am</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099006941</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ЗАО «Фонд государственных интересов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ՀՊՀՖ-ԷԱՃԱՊՁԲ-22/43</w:t>
      </w:r>
      <w:r>
        <w:rPr>
          <w:rFonts w:ascii="Calibri" w:hAnsi="Calibri" w:cstheme="minorHAnsi"/>
          <w:i/>
        </w:rPr>
        <w:br/>
      </w:r>
      <w:r>
        <w:rPr>
          <w:rFonts w:ascii="Calibri" w:hAnsi="Calibri" w:cstheme="minorHAnsi"/>
          <w:szCs w:val="20"/>
          <w:lang w:val="af-ZA"/>
        </w:rPr>
        <w:t>2022.08.22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«Фонд государственных интересов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«Фонд государственных интересов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офисная мебель</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ЗАО «Фонд государственных интересов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ՀՊՀՖ-ԷԱՃԱՊՁԲ-22/43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diana.madoyan@anif.am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круглый стол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405.15</w:t>
      </w:r>
      <w:r>
        <w:rPr>
          <w:rFonts w:ascii="Calibri" w:hAnsi="Calibri" w:cstheme="minorHAnsi"/>
          <w:szCs w:val="22"/>
        </w:rPr>
        <w:t xml:space="preserve"> драмом, российский рубль </w:t>
      </w:r>
      <w:r>
        <w:rPr>
          <w:rFonts w:ascii="Calibri" w:hAnsi="Calibri" w:cstheme="minorHAnsi"/>
          <w:lang w:val="af-ZA"/>
        </w:rPr>
        <w:t>6.87</w:t>
      </w:r>
      <w:r>
        <w:rPr>
          <w:rFonts w:ascii="Calibri" w:hAnsi="Calibri" w:cstheme="minorHAnsi"/>
          <w:szCs w:val="22"/>
        </w:rPr>
        <w:t xml:space="preserve"> драмом, евро </w:t>
      </w:r>
      <w:r>
        <w:rPr>
          <w:rFonts w:ascii="Calibri" w:hAnsi="Calibri" w:cstheme="minorHAnsi"/>
          <w:lang w:val="af-ZA"/>
        </w:rPr>
        <w:t>407.5</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2022.09.02.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ՀՊՀՖ-ԷԱՃԱՊՁԲ-22/43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«Фонд государственных интересов Республики Армения»</w:t>
      </w:r>
      <w:r>
        <w:rPr>
          <w:rFonts w:ascii="Calibri" w:hAnsi="Calibri" w:cstheme="minorHAnsi"/>
          <w:lang w:val="ru-RU"/>
        </w:rPr>
        <w:t xml:space="preserve"> под кодом </w:t>
      </w:r>
      <w:r>
        <w:rPr>
          <w:rFonts w:ascii="Calibri" w:hAnsi="Calibri" w:cstheme="minorHAnsi"/>
          <w:lang w:val="af-ZA"/>
        </w:rPr>
        <w:t>ՀՊՀՖ-ԷԱՃԱՊՁԲ-22/43</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ՀՊՀՖ-ԷԱՃԱՊՁԲ-22/43</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"ՀՊՀՖ-ԷԱՃԱՊՁԲ-22/43"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ЗАО «Фонд государственных интересов Республики Армения»*(далее — Заказчик) процедуре закупок под кодом ՀՊՀՖ-ԷԱՃԱՊՁԲ-22/43*.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«Фонд государственных интересов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- 24149001211900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"ՀՊՀՖ-ԷԱՃԱՊՁԲ-22/43"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ЗАО «Фонд государственных интересов Республики Армения»*(далее — Заказчик) процедуре закупок под кодом ՀՊՀՖ-ԷԱՃԱՊՁԲ-22/43*.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«Фонд государственных интересов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- 24149001211900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ՀՊՀՖ-ԷԱՃԱՊՁԲ-22/43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круглый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материала МДФ, круглый диаметром 1000 мм.
Лицевой кант столешницы: 36 мм, ножки: металлическая прямоугольная ножка 40*8 мм с порошковым покрытием. МДФ темно-коричневого цвета. Цвет металлической краски: черный. Все цвета, МДФ и т.д., а также образцы и окончательный вид согласовываны с заказчиком. Детали по приложенному чертежу. Доставка товара, при необходимости сбор и установка по адресу: г. Ереван, ул.Анрапетутян 37, офисная территория 5-го этажа. "	
Гарантийный срок: 365 дней.
Детали согласно чертежу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22 дней после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круглый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