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ՀՀԳՄՎՀ-ԷԱՃԱՊՁԲ-22/40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СЖАТОГО ПРИРОДНОГО ГАЗА ДЛЯ НУЖД МУНИЦИПАЛИТЕТА ВАРДЕНИСА ГЕГАРКУНИКСКОЙ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arevik.melkonyan.88@mail.ru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+374-93-978-877</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ՀՀԳՄՎՀ-ԷԱՃԱՊՁԲ-22/40</w:t>
      </w:r>
      <w:r>
        <w:rPr>
          <w:rFonts w:ascii="Calibri" w:hAnsi="Calibri" w:cstheme="minorHAnsi"/>
          <w:i/>
        </w:rPr>
        <w:br/>
      </w:r>
      <w:r>
        <w:rPr>
          <w:rFonts w:ascii="Calibri" w:hAnsi="Calibri" w:cstheme="minorHAnsi"/>
          <w:szCs w:val="20"/>
          <w:lang w:val="af-ZA"/>
        </w:rPr>
        <w:t>2022.09.26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СЖАТОГО ПРИРОДНОГО ГАЗА ДЛЯ НУЖД МУНИЦИПАЛИТЕТА ВАРДЕНИСА ГЕГАРКУНИКСКОЙ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СЖАТОГО ПРИРОДНОГО ГАЗА ДЛЯ НУЖД МУНИЦИПАЛИТЕТА ВАРДЕНИСА ГЕГАРКУНИКСКОЙ ОБЛАСТИ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ՀՀԳՄՎՀ-ԷԱՃԱՊՁԲ-22/40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arevik.melkonyan.88@mail.ru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СЖАТОГО ПРИРОДНОГО ГАЗА ДЛЯ НУЖД МУНИЦИПАЛИТЕТА ВАРДЕНИСА ГЕГАРКУНИКСКОЙ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413.06</w:t>
      </w:r>
      <w:r>
        <w:rPr>
          <w:rFonts w:ascii="Calibri" w:hAnsi="Calibri" w:cstheme="minorHAnsi"/>
          <w:szCs w:val="22"/>
        </w:rPr>
        <w:t xml:space="preserve"> драмом, российский рубль </w:t>
      </w:r>
      <w:r>
        <w:rPr>
          <w:rFonts w:ascii="Calibri" w:hAnsi="Calibri" w:cstheme="minorHAnsi"/>
          <w:lang w:val="af-ZA"/>
        </w:rPr>
        <w:t>7.14</w:t>
      </w:r>
      <w:r>
        <w:rPr>
          <w:rFonts w:ascii="Calibri" w:hAnsi="Calibri" w:cstheme="minorHAnsi"/>
          <w:szCs w:val="22"/>
        </w:rPr>
        <w:t xml:space="preserve"> драмом, евро </w:t>
      </w:r>
      <w:r>
        <w:rPr>
          <w:rFonts w:ascii="Calibri" w:hAnsi="Calibri" w:cstheme="minorHAnsi"/>
          <w:lang w:val="af-ZA"/>
        </w:rPr>
        <w:t>398.31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2022.10.10.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ՀՀԳՄՎՀ-ԷԱՃԱՊՁԲ-22/40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Pr>
          <w:rFonts w:ascii="Calibri" w:hAnsi="Calibri" w:cstheme="minorHAnsi"/>
          <w:lang w:val="af-ZA"/>
        </w:rPr>
        <w:t>ՀՀԳՄՎՀ-ԷԱՃԱՊՁԲ-22/40</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ՀՀԳՄՎՀ-ԷԱՃԱՊՁԲ-22/40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"ՀՀԳՄՎՀ-ԷԱՃԱՊՁԲ-22/40"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ՀՀԳՄՎՀ-ԷԱՃԱՊՁԲ-22/40*.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"ՀՀԳՄՎՀ-ԷԱՃԱՊՁԲ-22/40"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ՀՀԳՄՎՀ-ԷԱՃԱՊՁԲ-22/40*.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ՀՀԳՄՎՀ-ԷԱՃԱՊՁԲ-22/40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получают в результате нескольких последовательных стадий газоочистки в технологических процессах АГНКС: очистка смеси, удаление влаги и других загрязнений и компримирование, не предполагающее изменение состава компонентов. При заправке баллона избыточное давление сжатого природного газа топлива должно соответствовать техническим условиям заправки баллонов КПГ и газом и не должно превышать предельное давление 19,6 МПа, температура заправляемого в баллон газа может быть выше температуры окружающей среды не более чем на 150°С, но не должна превышать температуру 6000°С. Теплоотдача при горении: 8000 куб. см, давление на входе 2,2-2,5 атмосферы, взрывоопасен, легко воспламеняется, имеет плотность легче воздуха, уникальный запах, безопасность согласно «Техническому регламенту моторных топлив внутреннего сгорания», утвержденному Постановлением Правительства РА № № 894 от 16.06.2005.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Вардениса,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