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ՎԱԿՏՄ-ԷԱՃԱՊՁԲ-22/33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компьютерной техники и камери электрооборудования на код ՎԱԿՏՄ-ԷԱՃԱՊՁԲ-22/33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010-515690</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ՎԱԿՏՄ-ԷԱՃԱՊՁԲ-22/33</w:t>
      </w:r>
      <w:r w:rsidRPr="00E4651F">
        <w:rPr>
          <w:rFonts w:asciiTheme="minorHAnsi" w:hAnsiTheme="minorHAnsi" w:cstheme="minorHAnsi"/>
          <w:i/>
        </w:rPr>
        <w:br/>
      </w:r>
      <w:r w:rsidR="00A419E4" w:rsidRPr="00E4651F">
        <w:rPr>
          <w:rFonts w:asciiTheme="minorHAnsi" w:hAnsiTheme="minorHAnsi" w:cstheme="minorHAnsi"/>
          <w:szCs w:val="20"/>
          <w:lang w:val="af-ZA"/>
        </w:rPr>
        <w:t>2022.10.18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компьютерной техники и камери электрооборудования на код ՎԱԿՏՄ-ԷԱՃԱՊՁԲ-22/33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компьютерной техники и камери электрооборудования на код ՎԱԿՏՄ-ԷԱՃԱՊՁԲ-22/33</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ՎԱԿՏՄ-ԷԱՃԱՊՁԲ-22/33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компьютерной техники и камери электрооборудования на код ՎԱԿՏՄ-ԷԱՃԱՊՁԲ-22/33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404.13</w:t>
      </w:r>
      <w:r>
        <w:rPr>
          <w:rFonts w:ascii="Calibri" w:hAnsi="Calibri" w:cstheme="minorHAnsi"/>
          <w:szCs w:val="22"/>
        </w:rPr>
        <w:t xml:space="preserve"> драмом, российский рубль </w:t>
      </w:r>
      <w:r>
        <w:rPr>
          <w:rFonts w:ascii="Calibri" w:hAnsi="Calibri" w:cstheme="minorHAnsi"/>
          <w:lang w:val="af-ZA"/>
        </w:rPr>
        <w:t>6.54</w:t>
      </w:r>
      <w:r>
        <w:rPr>
          <w:rFonts w:ascii="Calibri" w:hAnsi="Calibri" w:cstheme="minorHAnsi"/>
          <w:szCs w:val="22"/>
        </w:rPr>
        <w:t xml:space="preserve"> драмом, евро </w:t>
      </w:r>
      <w:r>
        <w:rPr>
          <w:rFonts w:ascii="Calibri" w:hAnsi="Calibri" w:cstheme="minorHAnsi"/>
          <w:lang w:val="af-ZA"/>
        </w:rPr>
        <w:t>393.99</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2022.10.31.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ՎԱԿՏՄ-ԷԱՃԱՊՁԲ-22/33</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ՎԱԿՏՄ-ԷԱՃԱՊՁԲ-22/33</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ՎԱԿՏՄ-ԷԱՃԱՊՁԲ-22/33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"ՎԱԿՏՄ-ԷԱՃԱՊՁԲ-22/33"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ՎԱԿՏՄ-ԷԱՃԱՊՁԲ-22/33*.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"ՎԱԿՏՄ-ԷԱՃԱՊՁԲ-22/33"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ՎԱԿՏՄ-ԷԱՃԱՊՁԲ-22/33*.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ՎԱԿՏՄ-ԷԱՃԱՊՁԲ-22/33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днЕсли размер выделенных для исполнения договора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Три-в-одном) Монитор не менее 23,8 FHD IPS 250Nits, процессор i5 11-го поколения или аналогичный, оперативная память не менее 16 ГБ, Sound HDA, на базе Realtek ALC233, обязательное наличие встроенных сетевых адаптеров: Gigabit Ethernet не менее 1000 Мбит/с, жесткий диск не менее SSD 512GB GB, встроенная видеокарта, интегрированная графика, 2 x USB не менее 2.0, 2 x USB 3.2 Gen 2, 1xEthernet (RJ-45)/встроенный динамик 3Wx2, количество кнопок клавиатуры: не менее 104 шт., заводские с английскими и русскими шрифтами, клавиатура и мышь: вход типа USB, вход HDMI. Должен быть Wi-Fi приемник.  Гарантийный срок не менее одного года. Продукт должен быть неиспользованным. Наличие утвержденной производителем формы: Продукт должен быть неиспользованным. MAF с наличием вида полномочий 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 не менее 15,6 дюймов, светодиодный, Full-HD 1920x1080 IPS 300Nits не менее процессор i5 11-го поколения или эквивалентный процессор, который должен быть, оперативная память не менее 16Gb; 512 ГБ основной памяти типа PCIe NVMe SSD; встроенный динамик 1.5Wx2 Dolby Audio, Sound HDA, на базе Realtek ALC3287, 1XUSB 2.0, 1XUSB 3.2 Gen 1, 1XUSB-C 3.2 Gen 1, 1XHDMI 1.4B, 1X картридер, не менее 720p веб-камера, микрофон, динамики, bluetooth , батарея, полная клавиатура, включая отдельную цифровую клавиатуру, русскую и английскую клавиатуры, а также подсветку клавиатуры. Гарантийный срок не менее одного года; Продукт должен быть неиспользованным. . MAF с наличием вида полномочий 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Canon EOS  RP Body MT ADP+adapter  или эквивалент
Яркость: F:3,5–F:6,3,
Диагональ экрана: не менее 3".
Размеры матрицы: не менее 35,9*23,9 мм,
Скорость съемки: не менее 30 кадров в секунду,
алгоритм сжатия JPEG,
алгоритм сжатия H.264,
Разрешение ЖК-экрана: не менее 1040000 пикселей,
Настройка чувствительности: 100-40000,
Тип карты памяти: SD, SDHC, SDXC, ,
Тип матрицы: CMOS,
Разрешение матрицы: не менее 21,7 Мп,
Компьютерный интерфейс: USB,
сумка для фотоаппарата
Вес: максимум 530 г,
Размеры: максимум 132 × 85 × 700 мм,
Непрерывная съемка: не менее 5 кадров в секунду,. ; Продукт должен быть неиспользованным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Canon
Серия i-SENSYS
Модель MF443dwнайти похожий принтер/МФУ
Тип оборудования Принтер с МФУ лазерный монохромный
Возможности копирования, сканирования, двусторонней печати, беспроводные и проводные сетевые подключения, USB-подключение; память не менее 1 ГБ.
Беспроводной технологии Apple AirPrint, Canon PRINT Business, Canon Print Service, Google Cloud Print, Mopria
Интерфейс Wi-Fi, USB 2.0, RJ-45интерфейсы
Сетевой интерфейс 1 Гбит/сек
Порты RJ-45, USB 2.0 Type A, USB 2.0 Type B
Плотность оригиналов, подаваемых через ADF 50 - 105 г/м2
ADF (податчик оригиналов) Двусторонний
Формат печатных носителей A4 (210 x 297 мм), A5 (210 x 148 мм), A6 (4"x6", 10 x 15 см);
Скорость печати первой бумаги 5,5 сек.
Скорость печати, копирования не менее 38 страниц формата А4 в минуту, разрешение не менее 1200 dpi, предпочтительный объем ежемесячной нагрузки не менее 4000 страниц; входной лоток для бумаги не менее чем на 250 листов; автоматическое сканирование бумаги поставщиком не менее 50 листов, скорость сканирования не менее 38 страниц/мин, одностороннее монохромное, разрешение 300*600dpi. ; Продукт должен быть неиспользованным,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 после вступления в силу подписанного соглашения на 21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 после вступления в силу подписанного соглашения на 21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 после вступления в силу подписанного соглашения на 21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 после вступления в силу подписанного соглашения на 21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