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2022.10.26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ՎԵԴՈՒ ՀԱՄԱՅՆՔԻ ԿԱՐԻՔՆԵՐԻ ՀԱՄԱՐ ԲԵՆԶԻՆ ՌԵԳՈՒԼՅԱՐ,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Սեյրանյան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+37477805118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Վեդիի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2022.10.26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ՎԵԴՈՒ ՀԱՄԱՅՆՔԻ ԿԱՐԻՔՆԵՐԻ ՀԱՄԱՐ ԲԵՆԶԻՆ ՌԵԳՈՒԼՅԱՐ,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ՎԵԴՈՒ ՀԱՄԱՅՆՔԻ ԿԱՐԻՔՆԵՐԻ ՀԱՄԱՐ ԲԵՆԶԻՆ ՌԵԳՈՒԼՅԱՐ,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ՎԵԴՈՒ ՀԱՄԱՅՆՔԻ ԿԱՐԻՔՆԵՐԻ ՀԱՄԱՐ ԲԵՆԶԻՆ ՌԵԳՈՒԼՅԱՐ,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395.26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2022.11.08.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ՀՀԱՄՎՀ-ԷԱՃԱՊՁԲ-22/43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Վեդիի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ՀՀԱՄՎՀ-ԷԱՃԱՊՁԲ-22/43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«ՀՀԱՄՎՀ-ԷԱՃԱՊՁԲ-22/43»*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Վեդիի քաղաքապետարան*  (այսուհետ` Պատվիրատու) կողմից կազմակերպված` ՀՀԱՄՎՀ-ԷԱՃԱՊՁԲ-22/43*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«ՀՀԱՄՎՀ-ԷԱՃԱՊՁԲ-22/43»*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Վեդիի քաղաքապետարան*  (այսուհետ` Պատվիրատու) կողմից կազմակերպված` ՀՀԱՄՎՀ-ԷԱՃԱՊՁԲ-22/43*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ՀՀԱՄՎՀ-ԷԱՃԱՊՁԲ-22/43</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__</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__</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__</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__</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__</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մարզերում ինչպես նաև Վեդի համայնքի  վարչական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մարզերում ինչպես նաև Վեդի համայնքի  վարչական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25.12.2022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