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2022.10.26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ՀՀԱՄՎՀ-ԷԱՃԱՊՁԲ-22/43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Араратская область, муниципалитет Веди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Веди Араратской области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ОБЫЧНОГО БЕНЗИНА, ДИЗЕЛЬНОГО ТОПЛИВА ДЛЯ НУЖД ОБЩИНЫ ВЕДУ АРАРАТСКОЙ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Сейранян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vedu.qaxaqapetaran.2017@mail.ru</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+37477805118</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РА Араратская область, муниципалитет Веди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ՀՀԱՄՎՀ-ԷԱՃԱՊՁԲ-22/43</w:t>
      </w:r>
      <w:r>
        <w:rPr>
          <w:rFonts w:ascii="Calibri" w:hAnsi="Calibri" w:cstheme="minorHAnsi"/>
          <w:i/>
        </w:rPr>
        <w:br/>
      </w:r>
      <w:r>
        <w:rPr>
          <w:rFonts w:ascii="Calibri" w:hAnsi="Calibri" w:cstheme="minorHAnsi"/>
          <w:szCs w:val="20"/>
          <w:lang w:val="af-ZA"/>
        </w:rPr>
        <w:t>2022.10.26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Араратская область, муниципалитет Веди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Араратская область, муниципалитет Веди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ОБЫЧНОГО БЕНЗИНА, ДИЗЕЛЬНОГО ТОПЛИВА ДЛЯ НУЖД ОБЩИНЫ ВЕДУ АРАРАТСКОЙ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ОБЫЧНОГО БЕНЗИНА, ДИЗЕЛЬНОГО ТОПЛИВА ДЛЯ НУЖД ОБЩИНЫ ВЕДУ АРАРАТСКОЙ ОБЛАСТИ, РА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РА Араратская область, муниципалитет Веди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ՀՀԱՄՎՀ-ԷԱՃԱՊՁԲ-22/43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vedu.qaxaqapetaran.2017@mail.ru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ОБЫЧНОГО БЕНЗИНА, ДИЗЕЛЬНОГО ТОПЛИВА ДЛЯ НУЖД ОБЩИНЫ ВЕДУ АРАРАТСКОЙ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400.91</w:t>
      </w:r>
      <w:r>
        <w:rPr>
          <w:rFonts w:ascii="Calibri" w:hAnsi="Calibri" w:cstheme="minorHAnsi"/>
          <w:szCs w:val="22"/>
        </w:rPr>
        <w:t xml:space="preserve"> драмом, российский рубль </w:t>
      </w:r>
      <w:r>
        <w:rPr>
          <w:rFonts w:ascii="Calibri" w:hAnsi="Calibri" w:cstheme="minorHAnsi"/>
          <w:lang w:val="af-ZA"/>
        </w:rPr>
        <w:t>6.53</w:t>
      </w:r>
      <w:r>
        <w:rPr>
          <w:rFonts w:ascii="Calibri" w:hAnsi="Calibri" w:cstheme="minorHAnsi"/>
          <w:szCs w:val="22"/>
        </w:rPr>
        <w:t xml:space="preserve"> драмом, евро </w:t>
      </w:r>
      <w:r>
        <w:rPr>
          <w:rFonts w:ascii="Calibri" w:hAnsi="Calibri" w:cstheme="minorHAnsi"/>
          <w:lang w:val="af-ZA"/>
        </w:rPr>
        <w:t>395.26</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ՀՀԱՄՎՀ-ԷԱՃԱՊՁԲ-22/43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Араратская область, муниципалитет Веди</w:t>
      </w:r>
      <w:r>
        <w:rPr>
          <w:rFonts w:ascii="Calibri" w:hAnsi="Calibri" w:cstheme="minorHAnsi"/>
          <w:lang w:val="ru-RU"/>
        </w:rPr>
        <w:t xml:space="preserve"> под кодом </w:t>
      </w:r>
      <w:r>
        <w:rPr>
          <w:rFonts w:ascii="Calibri" w:hAnsi="Calibri" w:cstheme="minorHAnsi"/>
          <w:lang w:val="af-ZA"/>
        </w:rPr>
        <w:t>ՀՀԱՄՎՀ-ԷԱՃԱՊՁԲ-22/43</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ՀՀԱՄՎՀ-ԷԱՃԱՊՁԲ-22/43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"ՀՀԱՄՎՀ-ԷԱՃԱՊՁԲ-22/43"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ՀՀԱՄՎՀ-ԷԱՃԱՊՁԲ-22/43*.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"ՀՀԱՄՎՀ-ԷԱՃԱՊՁԲ-22/43"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ՀՀԱՄՎՀ-ԷԱՃԱՊՁԲ-22/43*.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ՀՀԱՄՎՀ-ԷԱՃԱՊՁԲ-22/43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По моторному методу - не менее 81, давление насыщенных паров бензина - от 45 до 100 кПа, содержание свинца не более 5 мг/дм3. Плотность при 15 0С: 720-775 кг/м3.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 не более 2,7%. Объемная доля окислителей, не более: метанол - 3 %, этанол - 5 %, изопропиловый спирт - 10 %, изобутиловый спирт - 10 %, тербутиловый спирт - 7 %, эфиры (С5 и выше) - 15 %, другие окислители - 10% :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Доставка по купону.
Наличие сертификата качества продукции обязательно. Купоны должны быть действительны в течение не менее 12 месяцев с даты поставки и должны быть погашены c. в Ереване (не менее 10 автозаправочных станций, из них не менее одной в административном районе Кентрон), во всех областях Республики Армения, а также на административной территории общины Веди.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 0 С от 820 до 845 кг/м3, содержание серы не более 350 мг/кг, температура воспламенения не ниже 55 0 С, кокс в 10% осадок не более 0,3%, вязкость при 40 0С - от 2,0 до 4,5 мм2/с, температура помутнения не выше 0 0С, безопасность, маркировка и упаковка: по постановлению правительства РА 2004 г. «Технический регламент моторных топлив внутреннего сгорания», утвержденный постановлением N 1592 от 11 ноября. Доставка по купону
**Сертификат качества продукции обязателен. Купоны должны быть действительны в течение не менее 12 месяцев с даты поставки и должны быть погашены c. в Ереване (не менее 10 автозаправочных станций, из них не менее одной в административном районе Кентрон), во всех областях Республики Армения, а также на административной территории общины Веди.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Веди Туманян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Веди Туманян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