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2023.04.13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ՉՀ-ԷԱՃԾՁԲ-2023/2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ՀՀ Կոտայքի մարզի Չարենցավան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Կ.Դեմիրճյանի անվ.հրապարակ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закупку услуг по уничтожению бездомных животных для нужд Чаренцаванской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Պավել Գաբրելյան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qaxgnumner@mail.ru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0226 4 34 34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Չարենցավան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ՉՀ-ԷԱՃԾՁԲ-2023/2</w:t>
      </w:r>
      <w:r w:rsidRPr="005704A1">
        <w:rPr>
          <w:rFonts w:ascii="Calibri" w:hAnsi="Calibri" w:cs="Times Armenian"/>
          <w:lang w:val="ru-RU"/>
        </w:rPr>
        <w:br/>
      </w:r>
      <w:r w:rsidRPr="005704A1">
        <w:rPr>
          <w:rFonts w:ascii="Calibri" w:hAnsi="Calibri" w:cstheme="minorHAnsi"/>
          <w:lang w:val="af-ZA"/>
        </w:rPr>
        <w:t>2023.04.13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Չարենցավան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Չարենցավան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закупку услуг по уничтожению бездомных животных для нужд Чаренцаванской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закупку услуг по уничтожению бездомных животных для нужд Чаренцаванской общины</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ՀՀ Կոտայքի մարզի Չարենցավան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ՉՀ-ԷԱՃԾՁԲ-2023/2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qaxgnumner@mail.ru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закупку услуг по уничтожению бездомных животных для нужд Чаренцаванской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обезвреживанию бродячих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387.97</w:t>
      </w:r>
      <w:r w:rsidRPr="005704A1">
        <w:rPr>
          <w:rFonts w:ascii="Calibri" w:hAnsi="Calibri"/>
          <w:szCs w:val="22"/>
        </w:rPr>
        <w:t xml:space="preserve"> драмом, российский рубль </w:t>
      </w:r>
      <w:r w:rsidRPr="005704A1">
        <w:rPr>
          <w:rFonts w:ascii="Calibri" w:hAnsi="Calibri"/>
          <w:lang w:val="hy-AM"/>
        </w:rPr>
        <w:t>4.75</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427.35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2023.04.26.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ՉՀ-ԷԱՃԾՁԲ-2023/2</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Pr>
          <w:rFonts w:ascii="Calibri" w:hAnsi="Calibri" w:cstheme="minorHAnsi"/>
          <w:lang w:val="af-ZA"/>
        </w:rPr>
        <w:t>ՉՀ-ԷԱՃԾՁԲ-2023/2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ՉՀ-ԷԱՃԾՁԲ-2023/2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"ՉՀ-ԷԱՃԾՁԲ-2023/2"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Չարենցավան քաղաքապետարան*(далее — Заказчик) процедуре закупок под кодом ՉՀ-ԷԱՃԾՁԲ-2023/2*.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"ՉՀ-ԷԱՃԾՁԲ-2023/2"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ՉՀ-ԷԱՃԾՁԲ-2023/2*.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ՉՀ-ԷԱՃԾՁԲ-2023/2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обезвреживанию бродячих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Предусмотренные данной технической характеристикой услуги по стерилизации бродячих животных (сокращение количества бездомных животных путем стерилизации) представляют собой ловлю, осмотр, стерилизацию/кастрацию, нумерацию и отпуск животных, для осуществления которых выдвигаются следующие условия и критерии
1. Разработка полной рабочей программы, которая обеспечит быстрое и эффективное выполнение действий ։
2. Ловля бродячих животных. Перевозка пойманных животных на приспособленных для этой цели транспортных средствах в места временного проживание/ клинику:
3. Места временного проживание/ клиника может быть как специально предназначенным для этого сооружением, так и палаточным или иным приспособленным помещением в полевых условиях, которое должно находиться на расстоянии не более 50 км от места ловли с целью исключения транспортного стресса животных, а также предотвращения распространения инфекционных заболеваний.:
4. Регистрация, учет животных в клинике, проведение клинических исследований, ведение соответствующих реестров ։
5. При наличии паразитов у животных проведение необходимых мероприятий с использованием соответствующих лекарственных средств ։
6. После заключения ветеринара проведение в клинике эвтаназии животных, не подлежащих лечению, больных болезнями, опасными для человека и животных, проявляющих неуправляемую агрессию в соответствии с международными нормами и рассылка трупов животных с помощью кремации:
7. Стерилизация//кастрацию клинически здоровых животных, послеоперационное 1-2-дневное лечение:
8. Вакцинация от бешенства:
9. После проведения всех вышеуказанных ветеринарных мероприятий стерилизованное животное пронумеровывается (с прикрепленным к уху логотипом) и выпускается в место, откудо был пойман.:
10. Перевозка животных для выполнения указанных действий, осуществление ловли, дезинфекция клиники и машин осуществляется исполнителем:
11. Оказание услуг должно быть поэтапно, по взаимному согласию, в течение пятнадцати дней после предъявления требования:
12. Процесс отлова, эксплуатации и выпуска бездомных животных с территории общины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на электронном носителе или в виде документа.
13. Минимальное количество бездомных животных – 150:
14. Для приема и регистрации звонков от населения и иных лиц у Исполнителя должно быть не менее двух операторов, которые должны работать с 9:00 до 18:00 и раз в неделю представлять в муниципалитет информацию о количестве отловленных животных, обязательное указание адреса, с которого были отловлены собаки.
15. Осуществлять процесс отлова и выпуска бездомных животных с территории населенного пункта с обязательным присутствием ветеринарного врача населенного пункта. ։
16. Предъявление технического паспорта соответствующего транспортного средства ։
17. Предоставление списка используемых лекарственных средств с соответствующими сертификатами.
18. Предоставление выписки ветеринарного врача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общины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май-декабрь 2023г.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обезвреживанию бродячих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