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2023.07.07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Комитет по Науке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Օրբելի եղբայրների փողոց 22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ԳԿ-ԷԱՃԱՊՁԲ-23/6</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Элиза Авагян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armeps@epromotion.am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+37444342219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Комитет по Науке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ԳԿ-ԷԱՃԱՊՁԲ-23/6</w:t>
      </w:r>
      <w:r>
        <w:rPr>
          <w:rFonts w:ascii="Calibri" w:hAnsi="Calibri" w:cstheme="minorHAnsi"/>
          <w:i/>
        </w:rPr>
        <w:br/>
      </w:r>
      <w:r>
        <w:rPr>
          <w:rFonts w:ascii="Calibri" w:hAnsi="Calibri" w:cstheme="minorHAnsi"/>
          <w:szCs w:val="20"/>
          <w:lang w:val="af-ZA"/>
        </w:rPr>
        <w:t>2023.07.07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Комитет по Науке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Комитет по Науке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ԳԿ-ԷԱՃԱՊՁԲ-23/6</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ԳԿ-ԷԱՃԱՊՁԲ-23/6</w:t>
      </w:r>
      <w:r>
        <w:rPr>
          <w:rFonts w:ascii="Calibri" w:hAnsi="Calibri" w:cstheme="minorHAnsi"/>
          <w:b/>
          <w:lang w:val="ru-RU"/>
        </w:rPr>
        <w:t xml:space="preserve">ДЛЯ НУЖД  </w:t>
      </w:r>
      <w:r>
        <w:rPr>
          <w:rFonts w:ascii="Calibri" w:hAnsi="Calibri" w:cstheme="minorHAnsi"/>
          <w:b/>
          <w:sz w:val="24"/>
          <w:szCs w:val="24"/>
          <w:lang w:val="af-ZA"/>
        </w:rPr>
        <w:t>Комитет по Науке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ԳԿ-ԷԱՃԱՊՁԲ-23/6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armeps@epromotion.am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ԳԿ-ԷԱՃԱՊՁԲ-23/6</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22984800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Флуоресцентный спектрометр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ընտրված մասնակցի առաջարկած գնի երեսուն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չափով կանխավճարի ապահովման ներկայացման օրվանից առավելագույնը 10 աշխատանքային օրվա ընթացքում 
                    </w:t>
              </w:r>
            </w:p>
          </w:tc>
        </w:tr>
      </w:tbl>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386.19</w:t>
      </w:r>
      <w:r>
        <w:rPr>
          <w:rFonts w:ascii="Calibri" w:hAnsi="Calibri" w:cstheme="minorHAnsi"/>
          <w:szCs w:val="22"/>
        </w:rPr>
        <w:t xml:space="preserve"> драмом, российский рубль </w:t>
      </w:r>
      <w:r>
        <w:rPr>
          <w:rFonts w:ascii="Calibri" w:hAnsi="Calibri" w:cstheme="minorHAnsi"/>
          <w:lang w:val="af-ZA"/>
        </w:rPr>
        <w:t>4.22</w:t>
      </w:r>
      <w:r>
        <w:rPr>
          <w:rFonts w:ascii="Calibri" w:hAnsi="Calibri" w:cstheme="minorHAnsi"/>
          <w:szCs w:val="22"/>
        </w:rPr>
        <w:t xml:space="preserve"> драмом, евро </w:t>
      </w:r>
      <w:r>
        <w:rPr>
          <w:rFonts w:ascii="Calibri" w:hAnsi="Calibri" w:cstheme="minorHAnsi"/>
          <w:lang w:val="af-ZA"/>
        </w:rPr>
        <w:t>420.64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2023.07.19.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в том числе, если настоящим приглашением предусмотрено требование о представлении заявки и занявший первое место участник представил обеспечение заявкой в виде банковской гарантии, однако в установленный настоящим приглашением срок не представил ее оригинал,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 xml:space="preserve">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w:t>
      </w:r>
      <w:r w:rsidRPr="00EC5CA5">
        <w:rPr>
          <w:rFonts w:ascii="Calibri" w:hAnsi="Calibri" w:cstheme="minorHAnsi"/>
          <w:lang w:val="ru-RU"/>
        </w:rPr>
        <w:lastRenderedPageBreak/>
        <w:t xml:space="preserve">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Pr="00EC5CA5">
        <w:rPr>
          <w:rFonts w:ascii="Calibri" w:hAnsi="Calibri" w:cstheme="minorHAnsi"/>
          <w:lang w:val="ru-RU"/>
        </w:rPr>
        <w:tab/>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Pr="00EC5CA5">
        <w:rPr>
          <w:rFonts w:ascii="Calibri" w:hAnsi="Calibri" w:cstheme="minorHAnsi"/>
          <w:lang w:val="ru-RU"/>
        </w:rPr>
        <w:tab/>
      </w:r>
      <w:r w:rsidR="00DE10B5">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r w:rsidRPr="00EC5CA5">
        <w:rPr>
          <w:rFonts w:ascii="Calibri" w:hAnsi="Calibri" w:cstheme="minorHAnsi"/>
          <w:lang w:val="ru-RU"/>
        </w:rPr>
        <w:t>.</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lastRenderedPageBreak/>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6C39BF" w:rsidP="00EC5CA5">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w:t>
      </w:r>
      <w:r>
        <w:rPr>
          <w:rFonts w:ascii="Calibri" w:hAnsi="Calibri" w:cstheme="minorHAnsi"/>
          <w:lang w:val="ru-RU"/>
        </w:rPr>
        <w:lastRenderedPageBreak/>
        <w:t>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w:t>
      </w:r>
      <w:r w:rsidRPr="009F6E96">
        <w:rPr>
          <w:rFonts w:ascii="Calibri" w:hAnsi="Calibri" w:cstheme="minorHAnsi"/>
          <w:lang w:val="ru-RU"/>
        </w:rPr>
        <w:lastRenderedPageBreak/>
        <w:t>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61B4D" w:rsidRDefault="00361B4D" w:rsidP="004007B0">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Pr>
          <w:rFonts w:ascii="Calibri" w:hAnsi="Calibri" w:cstheme="minorHAnsi"/>
          <w:lang w:val="hy-AM"/>
        </w:rPr>
        <w:t>․</w:t>
      </w:r>
      <w:r w:rsidRPr="00361B4D">
        <w:rPr>
          <w:rFonts w:ascii="Calibri" w:hAnsi="Calibri" w:cstheme="minorHAnsi"/>
          <w:lang w:val="ru-RU"/>
        </w:rPr>
        <w:t xml:space="preserve">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 уполномоченному органу,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w:t>
      </w:r>
      <w:r>
        <w:rPr>
          <w:rFonts w:ascii="Calibri" w:hAnsi="Calibri" w:cstheme="minorHAnsi"/>
          <w:lang w:val="ru-RU"/>
        </w:rPr>
        <w:lastRenderedPageBreak/>
        <w:t>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w:t>
      </w:r>
      <w:r w:rsidRPr="00926570">
        <w:rPr>
          <w:rFonts w:ascii="Calibri" w:hAnsi="Calibri" w:cstheme="minorHAnsi"/>
          <w:lang w:val="ru-RU"/>
        </w:rPr>
        <w:lastRenderedPageBreak/>
        <w:t xml:space="preserve">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lastRenderedPageBreak/>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ԳԿ-ԷԱՃԱՊՁԲ-23/6</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Комитет по Науке РА</w:t>
      </w:r>
      <w:r>
        <w:rPr>
          <w:rFonts w:ascii="Calibri" w:hAnsi="Calibri" w:cstheme="minorHAnsi"/>
          <w:lang w:val="ru-RU"/>
        </w:rPr>
        <w:t xml:space="preserve"> под кодом </w:t>
      </w:r>
      <w:r>
        <w:rPr>
          <w:rFonts w:ascii="Calibri" w:hAnsi="Calibri" w:cstheme="minorHAnsi"/>
          <w:lang w:val="af-ZA"/>
        </w:rPr>
        <w:t>^tender:code</w:t>
      </w:r>
      <w:r w:rsidR="002C52C2" w:rsidRPr="002C52C2">
        <w:rPr>
          <w:rFonts w:ascii="Calibri" w:hAnsi="Calibri" w:cstheme="minorHAnsi"/>
          <w:lang w:val="af-ZA"/>
        </w:rPr>
        <w:t>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2C52C2" w:rsidRPr="002C52C2">
        <w:rPr>
          <w:rFonts w:ascii="Calibri" w:hAnsi="Calibri" w:cstheme="minorHAnsi"/>
          <w:lang w:val="af-ZA"/>
        </w:rPr>
        <w:t>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"ԳԿ-ԷԱՃԱՊՁԲ-23/6"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Комитет по Науке РА*(далее — Заказчик) процедуре закупок под кодом ԳԿ-ԷԱՃԱՊՁԲ-23/6*.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по Науке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- 02704199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- 900011033124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"ԳԿ-ԷԱՃԱՊՁԲ-23/6"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Комитет по Науке РА*(далее — Заказчик) процедуре закупок под кодом ԳԿ-ԷԱՃԱՊՁԲ-23/6*.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по Науке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- 02704199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- 900011033124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Приложение 4.2</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под кодом ԳԿ-ԷԱՃԱՊՁԲ-23/6*</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к приглашение на электронный аукцион</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ГАРАНТИЯ N________</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(обеспечение предоплаты)</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w:t>
      </w:r>
      <w:r w:rsidR="002848B6" w:rsidRPr="002848B6">
        <w:rPr>
          <w:rFonts w:cstheme="minorHAnsi"/>
          <w:color w:val="000000" w:themeColor="text1"/>
        </w:rPr>
        <w:t>предусмотренных договором    N_____________________________________________ заключаемым между</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номер заключаемого договора</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Комитет по Науке РА (далее-бенефициар)  и ______________________________________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наименование отобранного участника</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(далее-принципал).</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2.  По гарантии_____________________________________________________</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наименование банка выдающего гарантию</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сумма в цифрах и прописью</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расчетный счет</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3. Настоящая гарантия является безотзывной.</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5. Гарантия действует со дня вступления в силу договора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N____________________________заключенного между бенефициаром и принципалом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номер заключаемого договора</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1) копии заключенного договора N_____________________, включая</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номер заключаемого договара</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копии внесенных  в него изменений, дополнительных соглашений,</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10" w:history="1">
        <w:r w:rsidR="000829CD" w:rsidRPr="00E41FA3">
          <w:rPr>
            <w:rStyle w:val="Hyperlink"/>
            <w:rFonts w:cstheme="minorHAnsi"/>
          </w:rPr>
          <w:t>www.procurement.am</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8. Лицо, выдающее гарантию, отклоняет требование бенефициара, если:</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1) требование или прилагаемые документы не соответствуют условиям настоящей гарантии,</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2) требование представлено по истечении срока, установленного гарантией.</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10. К настоящей гарантии применяются соответствующие положения Гражданского кодекса Республики Армения</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ԳԿ-ԷԱՃԱՊՁԲ-23/6</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Руководитель исполнительного органа_______________________</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__________________________________</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число, месяц, год</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*Заполняется секретарем Комиссии до опубликования приглашения в бюллетене</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ԳԿ-ԷԱՃԱՊՁԲ-23/6</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3.2. покупатель переводит на банковский счет продавца предоплату от цены контракта до ________ армянского драма.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погашения предоплаты, платежи продавцу не производятся.</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Флуоресцентный спектрометр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спецификации
1. Флуоресцентный спектрофотометр, управляемый компьютером, с двумя монохроматорами и режимами измерения флуоресценции, фосфоресценции, хемилюминесценции и биолюминесценции, переключаемыми программным обеспечением.
2. Источником света должна быть импульсная ксеноновая лампа с гарантированным сроком службы не менее двух лет. Лампа должна быть включена только во время измерения образца, что практически исключает эффект фотообесцвечивания. Импульсная лампа исключает попадание озона в лабораторию, а полностью закрытый модуль лампы обеспечивает превосходную эффективность и безопасность при замене лампы. Узкий импульс лампы длительностью 2 микросекунды (fwhm) обеспечивает пиковую мощность, эквивалентную 75 кВт, для повышения чувствительности. Всеотражающая оптика должна быть покрыта кварцем для обеспечения лучшей чувствительности. Также необходимо использовать оптику коллекции Schwarzchild для точного изображения и фокусировки лампы. Со временем будет достигнута значительная экономия средств, поскольку лампа, скорее всего, прослужит в течение всего срока службы прибора.
3. Монохроматоры возбуждения и излучения должны быть 0,125 мкм конструкции Черни-Тернера с фокусным расстоянием f3,6 и иметь предельное разрешение «1,5 нм. Каждый монохроматор должен иметь фиксированные выбираемые щели со спектральной полосой пропускания 1,5, 2,5, 5, 10 и 20 нм плюс округление 10 нм, а также стандартные управляемые компьютером фильтры подавления рассеянного света/рассеяния. Гарантированные характеристики монохроматоров должны быть следующими:
Диапазон длин волн: 200-900 нм с усовершенствованным детектором ФЭУ, чувствительным к красному цвету, с возможностью выбора нулевого порядка
Точность длины волны: ± 0,5 нм при 541,6 нм, ± 1,5 нм по всему диапазон
Воспроизводимость длины волны: ±0,2 нм
Скорость сканирования длины волны: 0,010–24 000 нм/мин.
Максимальная скорость поворота и скорость сканирования: 24000 нм/мин (400 нм/с)
Решетки: 30 x 35 мм, 1200 штр/мм, пламя 370 нм (возбуждение) и 440 нм (излучение)
Фильтры. Прибор должен иметь внутренние фильтры, выбираемые пользователем, как для испускаемого, так и для возбуждающего луча, чтобы исключить вторичный свет.
Следующее: Возбуждение включает настройки открытия и затвора, 2 полосовых фильтра (250–395 нм и 335–620 нм) и 2 отсекающих фильтра (550 нм, 695 нм). И
злучение включает настройки открытия и затвора, 1 полосовой фильтр (250-395), 4 обрезающих фильтра (295 нм, 360 нм, 430 нм и 550 нм) и аттенюатор 3%.
Горизонтальный луч и щелевое изображение уменьшают количество образца, необходимого для анализа, требующего всего 500 мкл в стандартной ячейке объемом 3,0 мл.
Гарантированная чувствительность по рамановской полосе воды должна быть не менее: 750:1 RMS с возбуждением 350 нм, щелями 10 нм, усреднением сигнала 1 с 500:1 RMS при возбуждении 500 нм, щелях 10 нм, усреднении сигнала 1 с
4. Допустимые интервалы данных должны включать: 0,15-30 морских миль. Скорость сбора данных в точках в минуту на ячейку составляет 4800 точек/1 ячейку; 6 точек/4 ячейки; и 55 точек/4 ячейки с минимальным SAT и временем задержки. Усреднение сигнала изменяется в зависимости от выбранного режима сбора следующим образом: флуоресценция (от 0,0125 до 999 с), фосфоресценция (время стробирования от 1 мкс до 10 с), биохимиолюминесценция (время стробирования от 40 мкс до 10 с).
5. Принадлежности должны устанавливаться с помощью фиксирующего механизма на опорной плите, для чего не требуются никакие инструменты. Это критическая необходимость для исследовательской лаборатории, которая использует множество различных принадлежностей и нуждается в эффективном и быстром изменении настройки прибора.
6. На инструмент и аксессуары должна быть предоставлена полная гарантия сроком на 1 год. Установка системы и обучение сертифицированным сервисным инженером должны быть включены в комплект поставки прибора.
7 Спецификации программного обеспечения следующие:
1. Прибор должен управляться ПК, а программное обеспечение должно поддерживаться операционной системой Microsoft XP. 
2. Приложения должны включать, по крайней мере, сканирование, термическое измерение, соотношение, простое и расширенное считывание, концентрацию, кинетику и время жизни. 
3. Программное обеспечение должно иметь встроенный язык программирования для разработки приложений, позволяющий выполнять настройку в соответствии с уникальными или особыми требованиями. 
4. Функция «Помощь» должна обеспечивать легкий доступ ко всему руководству по эксплуатации; щелчок по справке для определенного экрана должен привести пользователя к справке для этого конкретного экрана. 
5. Пользователь должен иметь возможность доступа к данным флуоресценции и управления ими с помощью программного обеспечения прибора без подключения к сети с прибором.
Ситема должна быть
• Невосприимчива к комнатному свету: возможность работы с открытым отсеком для проб • Выполнять стационарную работу и работу в течение всего срока службы на одном и том же приборе.
 • Иметь возможность просмотра фотолабильных образцов без эффектов фотообесцвечивания. 
• Иметь многоэлементный контроль температуры на элементах Пельтье в диапазоне от -10 до 100 градусов Цельсия, включая возможность плавного изменения температуры и термоциклирования.
 • Программное обеспечение для термической плавки, позволяющее настроить не менее 20 стадий (до 50!) с различными скоростями линейного изменения скорости и сбора данных для каждой операции плавки.
 • Возможность управления сбором данных по температуре зонда внутри кюветы 
• Возможность сбора сканирующих термических расплавов, что дает очень подробную информацию, недоступную только для сигналов или многоточечных измерений.
Комплект включает в себя: 
1.      Спектрофлуорометр 
2.      ПК, монитор, клавиатура
3.      Программное обеспечение 
4.      Преобразователь GPIB
5.      Флюоресцентная кювета Fluorescence cell UV 10mm 3.5mL stop 2/p 
6.      Установка и обучение
7.      Гарантия один год
Авторизация производителя на данное оборудование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Фонд “Ереванский государственный университет”; РА, с. Ереван ул. Алека Манукяна,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договора в силу, с соблюдением постановления Правительства РА от 05.04.17 Требования, определенные абзацем «з» пункта 21, подпункта 1 «Порядка организации процесса закупки», утвержденного Решением № 526-Н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r w:rsidR="00320438" w:rsidRPr="00320438">
        <w:rPr>
          <w:rFonts w:asciiTheme="minorHAnsi" w:hAnsiTheme="minorHAnsi" w:cstheme="minorHAnsi"/>
          <w:iCs/>
          <w:lang w:val="ru-RU"/>
        </w:rPr>
        <w:t>.</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Флуоресцентный спектрометр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A430E" w:rsidRDefault="00AA430E" w:rsidP="00FE3FF0">
      <w:pPr>
        <w:spacing w:line="240" w:lineRule="auto"/>
      </w:pPr>
      <w:r>
        <w:separator/>
      </w:r>
    </w:p>
  </w:endnote>
  <w:endnote w:type="continuationSeparator" w:id="1">
    <w:p w:rsidR="00AA430E" w:rsidRDefault="00AA430E"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A430E" w:rsidRDefault="00AA430E" w:rsidP="00FE3FF0">
      <w:pPr>
        <w:spacing w:line="240" w:lineRule="auto"/>
      </w:pPr>
      <w:r>
        <w:separator/>
      </w:r>
    </w:p>
  </w:footnote>
  <w:footnote w:type="continuationSeparator" w:id="1">
    <w:p w:rsidR="00AA430E" w:rsidRDefault="00AA430E"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0391"/>
    <w:rsid w:val="00E215F4"/>
    <w:rsid w:val="00E22CD2"/>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503</TotalTime>
  <Pages>63</Pages>
  <Words>15749</Words>
  <Characters>89773</Characters>
  <Application>Microsoft Office Word</Application>
  <DocSecurity>0</DocSecurity>
  <Lines>748</Lines>
  <Paragraphs>210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105312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265</cp:revision>
  <dcterms:created xsi:type="dcterms:W3CDTF">2021-01-24T19:37:00Z</dcterms:created>
  <dcterms:modified xsi:type="dcterms:W3CDTF">2023-03-31T08:38:00Z</dcterms:modified>
</cp:coreProperties>
</file>