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цветов для нужд аппарата премьер-министра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davit.grigoryan@gov.am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цветов для нужд аппарата премьер-министра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цветов для нужд аппарата премьер-министра 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davit.grigoryan@gov.am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цветов для нужд аппарата премьер-министра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Цветочные композиции посвященные дням памяти: венки*
Венок - круглый /диаметром не менее 120 см, высотой не менее 190 см/ и овалный /шириной не менее 100 см, высотой не менее 200 см/. Изготовлен исключительно из натуральных и свежих цветов. В одном венке не менее 400 цветов, в том числе: Розы - не менее 70 шт., астромерии - не менее 40 веток, герберы: максимум 30 шт., хризантемы, гвоздики, лилии, гладиолусы, смешанные цветы и другие растения в зависимости от сезона. Форма: Выпуклая, задняя часть полностью покрытая натуральной зеленью (листьями иглицы или папоротника), основа: пенопласт покрытый фетром, опирающийся на деревянные ножки предназначены для венка. Лента памятная (траурная) шелковая (с соответствующей надписью), текст золотого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Цветочные композиции посвященные дням памяти: венки*
Венок – круглый: диаметром не менее 120 см, высотой не менее 190 см: Форма: выпуклая, задняя часть полностью покрытая натуральной зеленью (листьями иглицы или папоротника), основа: пенопласт покрытый фетром, опирающийся на деревянные ножки предназначены для венка. Изготовлен исключительно из натуральных и свежих цветов- гвоздик (не менее 600 гвоздик). Цвет гвоздик: белый и красный (65% белый, 35% красный), диаметр головки (кокона) не менее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Цветы: гвоздики*
Исключительно свежие, натуральные цветы – гвоздики. Цвет: белый или красный. Стебель: прямой, длина не менее 90см., диаметр головки (кокона) не менее 6 см. Количество и цвет гвоздик в соответствии с запросом представленным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Цветы – розы*
Исключительно свежие, натуральные цветы –розы (голландские или эквадорские). Диаметр головки (кокона) не менее 7 см, высота не менее 8 см. Стебель: прямой, длина не менее 90см. Собран в букет из качественных декоративных лент. Цвет роз, количество и  упаковка в соответствии с запросом представленным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дней после вступления в силу  соглашения сторон при наличии финансовых средств в соответствии с заказом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запросу  заявки на покупку представленным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дней после вступления в силу  соглашения сторон при наличии финансовых средств в соответствии с заказом представленным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