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ՀԱՊՀ-ԳՄ-ԷԱՃԱՊՁԲ-24/1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ԳՅՈՒՄՐՈՒ ՄԱՍՆԱՃՅՈՒՂԻ ԿԱՐԻՔՆԵՐԻ ՀԱՄԱՐ ՃԱԿԱՏԱՅԻՆ ՆԵՐԿԻ ԳՆՄԱՆ ԸՆԹԱՑԱԿԱՐԳ ՀԱՊՀ-ԳՄ-ԷԱՃԱՊՁԲ-24/1  ԾԱԾԿԱԳՐՈՎ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Կուչկոյան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kuchkoyansvetlana@mail.ru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ՀԱՊՀ-ԳՄ-ԷԱՃԱՊՁԲ-24/1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ԳՅՈՒՄՐՈՒ ՄԱՍՆԱՃՅՈՒՂԻ ԿԱՐԻՔՆԵՐԻ ՀԱՄԱՐ ՃԱԿԱՏԱՅԻՆ ՆԵՐԿԻ ԳՆՄԱՆ ԸՆԹԱՑԱԿԱՐԳ ՀԱՊՀ-ԳՄ-ԷԱՃԱՊՁԲ-24/1  ԾԱԾԿԱԳՐՈՎ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ԳՅՈՒՄՐՈՒ ՄԱՍՆԱՃՅՈՒՂԻ ԿԱՐԻՔՆԵՐԻ ՀԱՄԱՐ ՃԱԿԱՏԱՅԻՆ ՆԵՐԿԻ ԳՆՄԱՆ ԸՆԹԱՑԱԿԱՐԳ ՀԱՊՀ-ԳՄ-ԷԱՃԱՊՁԲ-24/1  ԾԱԾԿԱԳՐՈՎ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ՀԱՊՀ-ԳՄ-ԷԱՃԱՊՁԲ-24/1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kuchkoyansvetlana@mail.ru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ԳՅՈՒՄՐՈՒ ՄԱՍՆԱՃՅՈՒՂԻ ԿԱՐԻՔՆԵՐԻ ՀԱՄԱՐ ՃԱԿԱՏԱՅԻՆ ՆԵՐԿԻ ԳՆՄԱՆ ԸՆԹԱՑԱԿԱՐԳ ՀԱՊՀ-ԳՄ-ԷԱՃԱՊՁԲ-24/1  ԾԱԾԿԱԳՐՈՎ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ճակատային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ՀԱՊՀ-ԳՄ-ԷԱՃԱՊՁԲ-24/1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ՀԱՊՀ-ԳՄ-ԷԱՃԱՊՁԲ-24/1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ՀԱՊՀ-ԳՄ-ԷԱՃԱՊՁԲ-24/1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«ՀԱՊՀ-ԳՄ-ԷԱՃԱՊՁԲ-24/1»*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ՀԱՊՀ-ԳՄ-ԷԱՃԱՊՁԲ-24/1*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«ՀԱՊՀ-ԳՄ-ԷԱՃԱՊՁԲ-24/1»*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ՀԱՊՀ-ԳՄ-ԷԱՃԱՊՁԲ-24/1*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 ԳՅՈՒՄՐՈՒ ՄԱՍՆԱՃՅՈՒՂԻ ԿԱՐԻՔՆԵՐԻ ՀԱՄԱՐ ՃԱԿԱՏԱՅԻՆ ՆԵՐԿԻ ԳՆՄԱՆ ՊԱՅՄԱՆԱԳԻՐ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ճակատային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ջրադիսպերսիոն ակրիլային ներկ շինությունների արտաքին  ճակատների (ֆասադաների) համար, բարձր ծածկող հզորությամբ, ջրակայուն և կայուն եղանակային պայմանների նկատմամբ, օգտագործման մակերեսը բետոն, աղյուս, սվաղած մակերեսներ, գույնը սպիտակ, սպառումը՝ 140-160գ/մ2, փայլի աստիճանը՝ անփայլ: Ներկը պետք է ունենա մատակարարման օրվանից  18 ամսից ոչ պակաս պահպանման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ճակատային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