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водяных насосов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077-717-918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ԼՄՍՀ-ԷԱՃ-ԱՊՁԲ-24/34</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водяных насосов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водяных насосов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водяных насосов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ԼՄՍՀ-ԷԱՃ-ԱՊՁԲ-24/34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ЭЦВ-8-25-110.
 Производительность 25 м3 / ч, высота водяного столба 110 м, Мощность двигателя 11 кВт, трехфазное напряжение 380 В, частота 50 Гц. 
2023 год. не низкое производство, неиспользованный.
С соответствующей заводской маркировкой для вышеуказанных параметров на двигателе и насосе.
С заводской упаковкой, сертификатом испытаний.
Гарантийный срок не менее 1 года.Перемещение товара будет осуществляться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ЭЦВ -10-65-110: Производительность 65 м3 / ч, высота водяного столба 110 м, Мощность двигателя 33 кВт, трехфазное напряжение 380 В, частота 50 Гц: 2023 год. не низкое производство, неиспользованный: С соответствующей заводской маркировкой для вышеуказанных параметров на двигателе и насосе: С заводской упаковкой, сертификатом испытаний: Гарантийный срок не менее 1 года. Перемещение товара будет осуществляться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31.10.2024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31.10.2024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