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ջրի պոմպերի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ջրի պոմպերի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ջրի պոմպերի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ջրի պոմպերի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Խորքային պոմպ ԷՑՎ-8-25-110:
Արտադրողականությունը 25մ3 /ժ, ջրի սյան բարձրությունը՝ 110Մ, շարժիչի հզորությունը՝ 11 Կվտ, եռաֆազ 380վ լարման, 50 Հց հաճախականության: 2023թ. ոչ ցածր արտադրության, չօգտագործված: 
Շարժիչի և պոմպի վրա վերոնշյալ պարամետրերի համապատասխան գործարանային նշագրմամբ, գործարանային փաթեթավորմամբ, փորձարկման հավաստագրով: Երաշխիքային ժամկետը առնվազն 1 տարի: Ապրանքի տեղափոխումը իրականացնելու է 
վաճառողը՝  ք. Սպիտակ, Շահումյան 7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Խորքային պոմպ ԷՑՎ-10-65-110:
Արտադրողականությունը 65մ3 /ժ, ջրի սյան բարձրությունը՝ 110Մ, շարժիչի հզորությունը՝ 33 Կվտ, եռաֆազ 380վ լարման, 50 Հց հաճախականության: 2023թ. ոչ ցածր արտադրության, չօգտագործված: 
Շարժիչի և պոմպի վրա վերոնշյալ պարամետրերի համապատասխան գործարանային նշագրմամբ, գործարանային փաթեթավորմամբ, փորձարկման հավաստագրով: Երաշխիքային ժամկետը առնվազն 1 տարի:  Ապրանքի տեղափոխումը իրականացնելու է 
վաճառողը՝  ք. Սպիտակ,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