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регуляр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gayane.hakobyan14@mail.ru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HHQK-EAAPDzB-24/4</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регуляр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регуляр</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HHQK-EAAPDzB-24/4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gayane.hakobyan14@mail.ru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регуляр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432.43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HHQK-EAAPDzB-24/4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HHQK-EAAPDzB-24/4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предпоследного рабочего дня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один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мг/дм3; Плотность бензола не более 1%, плотность при температуре 15 С при 720-775 кг / м3, содержание серы не более 10 мг/кг,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Правительству РА 2004 11 ноября«Технический регламент о двигателях внутреннего сгорания», утвержденный решением N 1592-N. Поставка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20-го календарного дня после вступления в силу подписанного договора включительно, если продавец не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