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ԵՄ-ԷԱՃԱՊՁԲ-24/118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ԵՄ-ԷԱՃԱՊՁԲ-24/118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ԵՄ-ԷԱՃԱՊՁԲ-24/118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ԵՄ-ԷԱՃԱՊՁԲ-24/118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Փրփրուն հերմետիկ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զգեստապահարանով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բաղադրությունը գիպս, պոլիմերային հավելանյութեր նախատեսված ներքին մակերեսների հարդարման աշխատանքները ավարտին հասցնելու։ Տուֆե, բետոնե, ցեմենտաավազային աղյուսե պեմզաբլոկի և գաջած մակերեսները հարթեցնելու համար։ 30 կգ-ոց թղթե և պոլիպրոպիլենային պարկերով շերտի 1սմ հաստության դեպքում չոր շաղախի ծավալը 11կգ 1մ²-ի համար: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Փրփրուն հերմետիկ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Փրփրուն հերմետիկ ,մեծ-850գր․, հեղուկ ջերմամեկուսիչ փրփուր,չորանալուց ընդարձակվում է։Տեղափոխումով։Արտադրությունը ոչ պակաս 2024 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զգեստապահարանով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զգեստապահարանով (չ․120х180սմ)վենգե գույնի,խորությունը 45 սմ պատրաստված բարձրակարգ լամինա-տից,հաստությունը 18÷20 մմ, երեք փեղկով,որից 2-ը ապակի։ Զգեստապահա-րանը առանձնացված գլ-խարկի և կոշիկների տե-ղերով,կախիչով և ներսից հայելիով։ Գրապահա - րանը դարակներով,ներ-քևի հատվածի դռները լա-մինատով, տեղափոխու-մով և տեղադրումով։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Ֆ7 երկարությունը  5÷6սմ նախատեսված
պտուտակի համար 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3.5x35մմ                                                 հաստությունը- 3.5մմ                                                             երկարությունը-35մմ                                                                                  Ապրանքը պետք է լինի նոր չօգտագործված։Տեղափոխումով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4*40  ձևավոր գլխիկով 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սկոչ ,լայնությունը 30 մմ,երկարությունը 50 մ,այն թղթե հիմք ունեցող։Ինքնակպչուն և սահմանազատողժապավեն է։ Տեղափոխումով և բեռնափոխումով։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սալիկի Կ80 նախատեսված դրսի աշխատանքների համար։ 25կգ-ոց պարկերով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շարժական նիկելապատ d=25, Նախատեսված է գովազդի վահանակի պատրասման համար պտուտակով ամրացվող։Ապրանքը պետք է լինի նոր, չօգտագործված։ Տեղափոխումով և բեռնաթափումով։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