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ՎԱ-ՍԱՏՄ-ԷԱՃԱՊՁԲ-25/3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ПРЕМЬЕР-МИНИСТРА (ОРГАН ПО ИНСПЕКЦИИ ПРОДОВОЛЬСТВЕННОЙ БЕЗОПАСНОСТИ) ДЛЯ НУЖД: ТОПЛИВО С ПОКРЫТИЕМ N ՎԱ-ՍԱՏՄ-ԷԱՃԱՊՁԲ-25/3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ՎԱ-ՍԱՏՄ-ԷԱՃԱՊՁԲ-25/3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2024.08.23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ПРЕМЬЕР-МИНИСТРА (ОРГАН ПО ИНСПЕКЦИИ ПРОДОВОЛЬСТВЕННОЙ БЕЗОПАСНОСТИ) ДЛЯ НУЖД: ТОПЛИВО С ПОКРЫТИЕМ N ՎԱ-ՍԱՏՄ-ԷԱՃԱՊՁԲ-25/3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ПРЕМЬЕР-МИНИСТРА (ОРГАН ПО ИНСПЕКЦИИ ПРОДОВОЛЬСТВЕННОЙ БЕЗОПАСНОСТИ) ДЛЯ НУЖД: ТОПЛИВО С ПОКРЫТИЕМ N ՎԱ-ՍԱՏՄ-ԷԱՃԱՊՁԲ-25/3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ՎԱ-ՍԱՏՄ-ԷԱՃԱՊՁԲ-25/3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ПРЕМЬЕР-МИНИСТРА (ОРГАН ПО ИНСПЕКЦИИ ПРОДОВОЛЬСТВЕННОЙ БЕЗОПАСНОСТИ) ДЛЯ НУЖД: ТОПЛИВО С ПОКРЫТИЕМ N ՎԱ-ՍԱՏՄ-ԷԱՃԱՊՁԲ-25/3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432.43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ՎԱ-ՍԱՏՄ-ԷԱՃԱՊՁԲ-25/3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"ՎԱ-ՍԱՏՄ-ԷԱՃԱՊՁԲ-25/3"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"ՎԱ-ՍԱՏՄ-ԷԱՃԱՊՁԲ-25/3"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ՎԱ-ՍԱՏՄ-ԷԱՃԱՊՁԲ-25/3*.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ՎԱ-ՍԱՏՄ-ԷԱՃԱՊՁԲ-25/3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0 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более)-15%, прочие окислители-10%, безопасность Согласно техническому регламенту Таможенного союза 013/2011.
* Доставка товара: купон.
** Наличие сертификата качества продукции обязательно.
*** Купоны должны быть действительны не менее 12 месяцев после дня доставки и они должны обслуживаться в  Ереване (минимум 10 АЗС, минимум одна из которых в административном районе Кентрон), во всех областных центрах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 не менее 46, плотность при 150 С от 820 до 845 кг/м3. Массовая доля полициклических ароматических углеводородов: не более 11%. Содержание серы не более 10 мг/кг. Температура воспламенения не ниже 550 С, остаток углерода в 10% осадке не более 0,3%. Вязкость при 400 С – от 2,0 до 4,5 мм2/с. Температура помутнения не выше минус 50С. Безопасность, маркировка и упаковка согласно постановлению Комиссии Таможенного союза от 18 октября 2011 года № 826, утвержденному Положением ТС 013/2011.
* Доставка товара: купон.
** Наличие сертификата качества продукции обязательно.
*** Купоны должны быть действительны не менее 12 месяцев после дня доставки и они должны обслуживаться в  Ереване (минимум 10 АЗС, минимум одна из которых в административном районе Кентрон), во всех областных центрах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день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80-й день после вступления в силу подписанного  соглашения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день после вступления в силу подписанного  соглашения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