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800763" w:rsidRPr="00800763" w14:paraId="453A9B91" w14:textId="77777777" w:rsidTr="00357871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1F79A9AB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br/>
              <w:t>30211110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4B38EE63" w:rsidR="00800763" w:rsidRPr="00966E76" w:rsidRDefault="00800763" w:rsidP="0080076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t>ունիվերսալ /մեյնֆրեյմ/ համակարգիչ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6A86ACB8" w:rsidR="00800763" w:rsidRPr="00800763" w:rsidRDefault="00800763" w:rsidP="0080076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9D6AF67" w14:textId="77777777" w:rsidR="00800763" w:rsidRDefault="00800763" w:rsidP="0080076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Էկրանի տվյալները.  չափսերը՝ ոչ պակաս </w:t>
            </w:r>
            <w:r w:rsidRPr="004950C2">
              <w:rPr>
                <w:rFonts w:ascii="GHEA Grapalat" w:hAnsi="GHEA Grapalat"/>
                <w:sz w:val="16"/>
                <w:szCs w:val="16"/>
                <w:lang w:val="hy-AM"/>
              </w:rPr>
              <w:t>27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դյույմ, կետայնությունը՝ ոչ պակաս </w:t>
            </w:r>
            <w:r w:rsidRPr="004950C2">
              <w:rPr>
                <w:rFonts w:ascii="GHEA Grapalat" w:hAnsi="GHEA Grapalat"/>
                <w:sz w:val="16"/>
                <w:szCs w:val="16"/>
                <w:lang w:val="hy-AM"/>
              </w:rPr>
              <w:t>2560x1440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950C2">
              <w:rPr>
                <w:rFonts w:ascii="GHEA Grapalat" w:hAnsi="GHEA Grapalat"/>
                <w:sz w:val="16"/>
                <w:szCs w:val="16"/>
                <w:lang w:val="hy-AM"/>
              </w:rPr>
              <w:t>Մատրիցայի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4950C2">
              <w:rPr>
                <w:rFonts w:ascii="GHEA Grapalat" w:hAnsi="GHEA Grapalat"/>
                <w:sz w:val="16"/>
                <w:szCs w:val="16"/>
                <w:lang w:val="hy-AM"/>
              </w:rPr>
              <w:t>IPS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Մակերեւութային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հակափայլ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Մատրիցային հաճախականություն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ոչ պակաս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100 Հց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Պայծառություն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ոչ պակաս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350 նիտ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Էկրանի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հարաբերակցություն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ոչ պակաս </w:t>
            </w:r>
            <w:r w:rsidRPr="00483523">
              <w:rPr>
                <w:rFonts w:ascii="GHEA Grapalat" w:hAnsi="GHEA Grapalat"/>
                <w:sz w:val="16"/>
                <w:szCs w:val="16"/>
                <w:lang w:val="hy-AM"/>
              </w:rPr>
              <w:t>16։</w:t>
            </w:r>
            <w:r w:rsidRPr="004950C2">
              <w:rPr>
                <w:rFonts w:ascii="GHEA Grapalat" w:hAnsi="GHEA Grapalat"/>
                <w:sz w:val="16"/>
                <w:szCs w:val="16"/>
              </w:rPr>
              <w:t>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4950C2">
              <w:rPr>
                <w:rFonts w:ascii="GHEA Grapalat" w:hAnsi="GHEA Grapalat"/>
                <w:sz w:val="16"/>
                <w:szCs w:val="16"/>
              </w:rPr>
              <w:t>Դիտման</w:t>
            </w:r>
            <w:proofErr w:type="spellEnd"/>
            <w:r w:rsidRPr="004950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950C2">
              <w:rPr>
                <w:rFonts w:ascii="GHEA Grapalat" w:hAnsi="GHEA Grapalat"/>
                <w:sz w:val="16"/>
                <w:szCs w:val="16"/>
              </w:rPr>
              <w:t>անկյուններ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ոչ պակաս </w:t>
            </w:r>
            <w:r w:rsidRPr="004950C2">
              <w:rPr>
                <w:rFonts w:ascii="GHEA Grapalat" w:hAnsi="GHEA Grapalat"/>
                <w:sz w:val="16"/>
                <w:szCs w:val="16"/>
              </w:rPr>
              <w:t>89/80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</w:p>
          <w:p w14:paraId="0C2B13D1" w14:textId="1C13EDF1" w:rsidR="00800763" w:rsidRPr="00966E76" w:rsidRDefault="00800763" w:rsidP="00800763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Պրոցեսոր. </w:t>
            </w:r>
            <w:r w:rsidRPr="00E92D64">
              <w:rPr>
                <w:rFonts w:ascii="GHEA Grapalat" w:hAnsi="GHEA Grapalat"/>
                <w:sz w:val="16"/>
                <w:szCs w:val="16"/>
                <w:lang w:val="hy-AM"/>
              </w:rPr>
              <w:t>Պրոցեսորների շարք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 ոչ պակաս </w:t>
            </w:r>
            <w:r w:rsidRPr="00E92D64">
              <w:rPr>
                <w:rFonts w:ascii="GHEA Grapalat" w:hAnsi="GHEA Grapalat"/>
                <w:sz w:val="16"/>
                <w:szCs w:val="16"/>
                <w:lang w:val="hy-AM"/>
              </w:rPr>
              <w:t>i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7 /ոչ պակաս 13-րդ սերունդ/: </w:t>
            </w: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օպերացիոն հիշողություն /Ram/՝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ոչ պակաս </w:t>
            </w:r>
            <w:r w:rsidRPr="00E92D64">
              <w:rPr>
                <w:rFonts w:ascii="GHEA Grapalat" w:hAnsi="GHEA Grapalat"/>
                <w:sz w:val="16"/>
                <w:szCs w:val="16"/>
                <w:lang w:val="hy-AM"/>
              </w:rPr>
              <w:t>16 ԳԲ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92D64">
              <w:rPr>
                <w:rFonts w:ascii="GHEA Grapalat" w:hAnsi="GHEA Grapalat"/>
                <w:sz w:val="16"/>
                <w:szCs w:val="16"/>
                <w:lang w:val="hy-AM"/>
              </w:rPr>
              <w:t>RAM-ի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E92D64">
              <w:rPr>
                <w:rFonts w:ascii="GHEA Grapalat" w:hAnsi="GHEA Grapalat"/>
                <w:sz w:val="16"/>
                <w:szCs w:val="16"/>
                <w:lang w:val="hy-AM"/>
              </w:rPr>
              <w:t>DDR5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Վիդեո քարտի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անկախ /ոչ ներկառուցված/, հիմնական հիշողության տեսակը՝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SSD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ծավալը ոչ պակաս 1տբ,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Ներկառուցված սարքավորումներ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Wi-Fi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 xml:space="preserve"> Bluetooth Վեբ տեսախցիկ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ձայնային քարտ, բարձրախոս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միակցիչներ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Սարքավորումներ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Ստեղնաշար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լարով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Մուկ լարով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գույնը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ցանկալի է սև: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D4863">
              <w:rPr>
                <w:rFonts w:ascii="GHEA Grapalat" w:hAnsi="GHEA Grapalat"/>
                <w:sz w:val="16"/>
                <w:szCs w:val="16"/>
                <w:lang w:val="hy-AM"/>
              </w:rPr>
              <w:t>12 ամիս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2209CF6C" w:rsidR="00800763" w:rsidRPr="00966E76" w:rsidRDefault="00800763" w:rsidP="00800763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C493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компьютер общего назначения/мейнфрейм/компьютер</w:t>
            </w:r>
          </w:p>
        </w:tc>
        <w:tc>
          <w:tcPr>
            <w:tcW w:w="3119" w:type="dxa"/>
            <w:shd w:val="clear" w:color="auto" w:fill="auto"/>
          </w:tcPr>
          <w:p w14:paraId="6D6715DC" w14:textId="77777777" w:rsidR="00800763" w:rsidRPr="008353CB" w:rsidRDefault="00800763" w:rsidP="0080076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8353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Данные экрана: Размеры: не менее 27 дюймов, Разрешение: не менее 2560x1440, Тип матрицы: IPS, Поверхность антибликовая Частота матрицы: не менее 100 Гц, Яркость: не менее 350 нит, Соотношение экрана: не менее 16:9 , Углы обзора: не менее 89/80</w:t>
            </w:r>
          </w:p>
          <w:p w14:paraId="357ADB44" w14:textId="26BE7888" w:rsidR="00800763" w:rsidRPr="00966E76" w:rsidRDefault="00800763" w:rsidP="00800763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53C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Процессор: Линейка процессоров не ниже i7 /не ниже 13 поколения/. оперативная память /Оперативная/: не менее 16 ГБ, Тип оперативной памяти: DDR5, Тип видеокарты: Независимая /не встроенная/, Тип основной памяти: SSD, объем не менее 1ТБ, Встроенное оборудование: Wi-Fi, Веб-камера Bluetooth, звуковая карта, динамик и разъемы. Аппаратное обеспечение: Проводная клавиатура, Проводная мышь, Цвет предпочтительно черный. Гарантийный срок 12 месяцев.</w:t>
            </w:r>
          </w:p>
        </w:tc>
      </w:tr>
      <w:tr w:rsidR="00800763" w:rsidRPr="00800763" w14:paraId="4699B696" w14:textId="77777777" w:rsidTr="00357871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39DC5EAA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t>30211220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67A5CD15" w:rsidR="00800763" w:rsidRPr="00966E76" w:rsidRDefault="00800763" w:rsidP="0080076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t>սեղանի համակարգիչներ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608E311A" w:rsidR="00800763" w:rsidRPr="00800763" w:rsidRDefault="00800763" w:rsidP="0080076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39C0321" w14:textId="77777777" w:rsidR="00800763" w:rsidRPr="00AB7795" w:rsidRDefault="00800763" w:rsidP="00800763">
            <w:pPr>
              <w:pStyle w:val="Heading1"/>
              <w:shd w:val="clear" w:color="auto" w:fill="FFFFFF"/>
              <w:spacing w:before="0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AB7795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1 միավորը իր մեջ ներառում է պրոցեսոր, մոնիտոր, ստեղնաշար, մկնիկ, միացվող հաղորդալարեր/ Պրոցեսորը՝ /CPU/ 9-11 սերունդի, i5 կամ i7, օպերացիոն հիշողություն /Ram/՝ 16 GB, հիմնական հիշողություն /SSD/` 500 GB, Վիդեոքարտի առկայությունը պարտադիր է /առնվազն՝ 1-4 GB/:</w:t>
            </w:r>
          </w:p>
          <w:p w14:paraId="0FB43B11" w14:textId="5330D4E4" w:rsidR="00800763" w:rsidRPr="00966E76" w:rsidRDefault="00800763" w:rsidP="0080076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301D4">
              <w:rPr>
                <w:rFonts w:ascii="GHEA Grapalat" w:hAnsi="GHEA Grapalat"/>
                <w:sz w:val="16"/>
                <w:szCs w:val="16"/>
                <w:lang w:val="hy-AM"/>
              </w:rPr>
              <w:t xml:space="preserve">Էկրան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ոչ պակաս </w:t>
            </w:r>
            <w:r w:rsidRPr="003301D4">
              <w:rPr>
                <w:rFonts w:ascii="GHEA Grapalat" w:hAnsi="GHEA Grapalat"/>
                <w:sz w:val="16"/>
                <w:szCs w:val="16"/>
                <w:lang w:val="hy-AM"/>
              </w:rPr>
              <w:t>24 դյույմ, HDMI միացումով, ներկառուցված ձայնասյուներով: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Ս</w:t>
            </w:r>
            <w:r w:rsidRPr="00DD2686">
              <w:rPr>
                <w:rFonts w:ascii="GHEA Grapalat" w:hAnsi="GHEA Grapalat"/>
                <w:sz w:val="16"/>
                <w:szCs w:val="16"/>
                <w:lang w:val="hy-AM"/>
              </w:rPr>
              <w:t xml:space="preserve">տեղնաշարը անգլերեն և ռուսերեն տառաշարերով,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միացման տեսակը՝ </w:t>
            </w:r>
            <w:r w:rsidRPr="00634CB7">
              <w:rPr>
                <w:rFonts w:ascii="GHEA Grapalat" w:hAnsi="GHEA Grapalat"/>
                <w:sz w:val="16"/>
                <w:szCs w:val="16"/>
                <w:lang w:val="hy-AM"/>
              </w:rPr>
              <w:t xml:space="preserve">USB: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Մկնիկը լարային, միացման տեսակը</w:t>
            </w:r>
            <w:r w:rsidRPr="00634CB7">
              <w:rPr>
                <w:rFonts w:ascii="GHEA Grapalat" w:hAnsi="GHEA Grapalat"/>
                <w:sz w:val="16"/>
                <w:szCs w:val="16"/>
                <w:lang w:val="hy-AM"/>
              </w:rPr>
              <w:t>` USB: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7422CA8D" w:rsidR="00800763" w:rsidRPr="00966E76" w:rsidRDefault="00800763" w:rsidP="00800763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E3BD0">
              <w:rPr>
                <w:rFonts w:ascii="GHEA Grapalat" w:hAnsi="GHEA Grapalat"/>
                <w:sz w:val="16"/>
                <w:szCs w:val="16"/>
                <w:lang w:val="hy-AM"/>
              </w:rPr>
              <w:t>Настольные компьютеры /персональные/</w:t>
            </w:r>
          </w:p>
        </w:tc>
        <w:tc>
          <w:tcPr>
            <w:tcW w:w="3119" w:type="dxa"/>
            <w:shd w:val="clear" w:color="auto" w:fill="auto"/>
          </w:tcPr>
          <w:p w14:paraId="75C1788F" w14:textId="77777777" w:rsidR="00800763" w:rsidRPr="00AB7795" w:rsidRDefault="00800763" w:rsidP="0080076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1 блок включает в себя процессор, монитор, клавиатуру, мышь, соединительные кабели/ Процессор: /CPU/ 9-11 поколения, i5 или i7, оперативная память /Ram/: 16 ГБ, основная память /SSD/: 500 ГБ, наличие видеокарты есть обязательно /не менее 1-4 ГБ/.</w:t>
            </w:r>
          </w:p>
          <w:p w14:paraId="1FD84347" w14:textId="1A3AF12D" w:rsidR="00800763" w:rsidRPr="00966E76" w:rsidRDefault="00800763" w:rsidP="00800763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Экран 24 дюйма, подключение HDMI, встроенные динамики. Клавиатура с английскими и русскими символами, тип подключения: USB. Мышь проводная, тип подключения USB.</w:t>
            </w:r>
          </w:p>
        </w:tc>
      </w:tr>
      <w:tr w:rsidR="00800763" w:rsidRPr="00800763" w14:paraId="7AA445F4" w14:textId="77777777" w:rsidTr="00F77CB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0FD5FCA9" w:rsidR="00800763" w:rsidRPr="00966E76" w:rsidRDefault="00800763" w:rsidP="0080076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t>30239110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0C6CB59E" w:rsidR="00800763" w:rsidRPr="00966E76" w:rsidRDefault="00800763" w:rsidP="0080076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6DC3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բազմաֆունկցիոնալ, A4, 18 էջ/րոպե արագության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77777777" w:rsidR="00800763" w:rsidRPr="00966E76" w:rsidRDefault="00800763" w:rsidP="0080076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48F6348C" w:rsidR="00800763" w:rsidRPr="00800763" w:rsidRDefault="00800763" w:rsidP="008007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514" w:type="dxa"/>
            <w:shd w:val="clear" w:color="auto" w:fill="auto"/>
          </w:tcPr>
          <w:p w14:paraId="582DBC0D" w14:textId="136408BF" w:rsidR="00800763" w:rsidRPr="00966E76" w:rsidRDefault="00800763" w:rsidP="00800763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Բազմաֆունկցիոնալ տպիչ Տեսակ - Մոնոխրոմ լազերային</w:t>
            </w: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br/>
              <w:t>Ֆունկցիոնալություն - Տպիչ, սկաներ, պատճենահանում,Պատճենահանման չափս - A4, Պատճենահանման/տպման արագություն – 12-25 էջ րոպեում, Օպ. Հիշողություն – 32-128 ՄԲ, Միակցման տեսակ - USB 2.0 Hi-speed, ինչպես նաև լրացուցիչ պահեստային քարտրիջ: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42FC20" w14:textId="77777777" w:rsidR="00800763" w:rsidRPr="003E3BD0" w:rsidRDefault="00800763" w:rsidP="0080076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E3BD0">
              <w:rPr>
                <w:rFonts w:ascii="GHEA Grapalat" w:hAnsi="GHEA Grapalat"/>
                <w:sz w:val="16"/>
                <w:szCs w:val="16"/>
                <w:lang w:val="hy-AM"/>
              </w:rPr>
              <w:t>принтер, многофункциональный, А4, 18 страниц в минуту</w:t>
            </w:r>
          </w:p>
          <w:p w14:paraId="6D9415DD" w14:textId="0C0E5D68" w:rsidR="00800763" w:rsidRPr="00966E76" w:rsidRDefault="00800763" w:rsidP="00800763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3ECF3AFB" w14:textId="77777777" w:rsidR="00800763" w:rsidRPr="00AB7795" w:rsidRDefault="00800763" w:rsidP="0080076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Тип МФУ — монохромный лазерный</w:t>
            </w:r>
          </w:p>
          <w:p w14:paraId="5FA5E738" w14:textId="2F16837B" w:rsidR="00800763" w:rsidRPr="00966E76" w:rsidRDefault="00800763" w:rsidP="00800763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Функциональность - Принтер, сканер, копир, Размер копии - А4, Скорость копирования/печати - 12-25 страниц в минуту, Оп. Память – 32-128 МБ, Тип подключения – USB 2.0 Hi-speed, а также дополнительный картридж для хранения данных.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5FCD"/>
    <w:rsid w:val="00694C1F"/>
    <w:rsid w:val="00714974"/>
    <w:rsid w:val="00773ABB"/>
    <w:rsid w:val="007765D6"/>
    <w:rsid w:val="007E6EB3"/>
    <w:rsid w:val="00800763"/>
    <w:rsid w:val="00887CE6"/>
    <w:rsid w:val="00893057"/>
    <w:rsid w:val="00934FC3"/>
    <w:rsid w:val="00966E76"/>
    <w:rsid w:val="00983F19"/>
    <w:rsid w:val="009C3E13"/>
    <w:rsid w:val="009E04EF"/>
    <w:rsid w:val="00A32986"/>
    <w:rsid w:val="00A90F32"/>
    <w:rsid w:val="00B826C0"/>
    <w:rsid w:val="00C56362"/>
    <w:rsid w:val="00CA23FC"/>
    <w:rsid w:val="00CB40F6"/>
    <w:rsid w:val="00CD5A5F"/>
    <w:rsid w:val="00D1132B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37</cp:revision>
  <dcterms:created xsi:type="dcterms:W3CDTF">2023-01-25T12:37:00Z</dcterms:created>
  <dcterms:modified xsi:type="dcterms:W3CDTF">2024-08-26T12:08:00Z</dcterms:modified>
</cp:coreProperties>
</file>