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ՎՊ-ԷԱՃԱՊՁԲ-2024/07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ԲՈՒԺԱԿԱՆ ՄԻԱՎՈՐՈՒՄ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ք.Վայք, Շահումյան 91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ՓԲԸ-ի կարիքների համար ՎՊ-ԷԱՃԱՊՁԲ-2024/07 ծածկագրով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028221507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ԲՈՒԺԱԿԱՆ ՄԻԱՎՈՐՈՒՄ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ՎՊ-ԷԱՃԱՊՁԲ-2024/07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ԲՈՒԺԱԿԱՆ ՄԻԱՎՈՐՈՒՄ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ԲՈՒԺԱԿԱՆ ՄԻԱՎՈՐՈՒՄ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պոլիկլինիկա» ՓԲԸ-ի կարիքների համար ՎՊ-ԷԱՃԱՊՁԲ-2024/07 ծածկագրով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ԲՈՒԺԱԿԱՆ ՄԻԱՎՈՐՈՒՄ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պոլիկլինիկա» ՓԲԸ-ի կարիքների համար ՎՊ-ԷԱՃԱՊՁԲ-2024/07 ծածկագրով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ՎՊ-ԷԱՃԱՊՁԲ-2024/07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պոլիկլինիկա» ՓԲԸ-ի կարիքների համար ՎՊ-ԷԱՃԱՊՁԲ-2024/07 ծածկագրով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ՎՊ-ԷԱՃԱՊՁԲ-2024/07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ԲՈՒԺԱԿԱՆ ՄԻԱՎՈՐՈՒՄ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ՎՊ-ԷԱՃԱՊՁԲ-2024/07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ՎՊ-ԷԱՃԱՊՁԲ-2024/07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«ՎՊ-ԷԱՃԱՊՁԲ-2024/07»*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ԲՈՒԺԱԿԱՆ ՄԻԱՎՈՐՈՒՄ ՓԲԸ*  (այսուհետ` Պատվիրատու) կողմից կազմակերպված` ՎՊ-ԷԱՃԱՊՁԲ-2024/07*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ԲՈՒԺԱԿԱՆ ՄԻԱՎՈՐՈՒՄ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«ՎՊ-ԷԱՃԱՊՁԲ-2024/07»*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ԲՈՒԺԱԿԱՆ ՄԻԱՎՈՐՈՒՄ ՓԲԸ*  (այսուհետ` Պատվիրատու) կողմից կազմակերպված` ՎՊ-ԷԱՃԱՊՁԲ-2024/07*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ԲՈՒԺԱԿԱՆ ՄԻԱՎՈՐՈՒՄ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պարզ:Օկտանային թիվը որոշված հետազոտական մեթոդով՝ոչ պակաս 91, շարժիչային մեթոդով՝ ոչ պակաս 81,բենզինի հագեցած գոլորշիների ճնշումը՝ 45-ից մինչև 100 կՊա, կապարի պարունակությունը 5մգ/դմ3-ից ոչ ավելի, խտությունը՝ 15 oC ջերմաստիճանում՝ 720-ից մինչև775 կգ/մ3, Ծծումբի պարունակությունը՝ 10մգ/կգ-ից ոչ ավելի, թթվածնի զանգվածային մասը՝ 2,7%-ից ոչ ավելի՝ մեթանոլ-3%, էթանոլ-5%, իզոպրոպիլ սպիրտ-10%, իզոբուտիլ սպիրտ-10%, եռաբութիլ սպիրտ-7%, եթերներ(C5 և ավելի)-15%, այլ օքսիդիչներ-10%, անվտանգությունը, ,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կտրոններվ: Ապրանքի որակի սերտիֆիկատի առկայությունը պարտադիր է.Մատակարարը պետք է բենզալցակայաններ ունենա ՀՀ ամբողջ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ՀՀ, ք․ Վայք, Շահումյան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