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34FC3" w14:paraId="53F476B9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1B79AB1E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25A6584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9515A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676C5F30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38CA534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05AAA3E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5E4029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0D0590A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92C80" w:rsidRPr="00692C80" w14:paraId="1C38C5EC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47B89D9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2642BB0" w14:textId="0D067A9F" w:rsidR="00692C80" w:rsidRPr="00562F3F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Helvetica" w:hAnsi="Helvetica" w:cs="Helvetica"/>
                <w:color w:val="403931"/>
                <w:sz w:val="19"/>
                <w:szCs w:val="19"/>
                <w:lang w:val="hy-AM"/>
              </w:rPr>
              <w:t>44221100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ECE152" w14:textId="6DBA71BE" w:rsidR="00692C80" w:rsidRPr="00731CFB" w:rsidRDefault="00692C80" w:rsidP="00692C8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GHEA Grapalat" w:hAnsi="GHEA Grapalat"/>
                <w:sz w:val="16"/>
                <w:szCs w:val="16"/>
                <w:lang w:val="hy-AM"/>
              </w:rPr>
              <w:t>Մետաղապլաստե պատուհաններ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58CCD4C" w14:textId="7ED9091E" w:rsidR="00692C80" w:rsidRPr="006B610B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5ACB387" w14:textId="6D4E8C2F" w:rsidR="00692C80" w:rsidRPr="005B2CE8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77FA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10.71</w:t>
            </w:r>
          </w:p>
        </w:tc>
        <w:tc>
          <w:tcPr>
            <w:tcW w:w="3514" w:type="dxa"/>
            <w:shd w:val="clear" w:color="auto" w:fill="auto"/>
          </w:tcPr>
          <w:p w14:paraId="36CCEC61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1-ին հարկի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պատուհաններ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692C80" w:rsidRPr="00AB3434" w14:paraId="6604BFE8" w14:textId="77777777" w:rsidTr="00D0703B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6E950599" w14:textId="77777777" w:rsidR="00692C80" w:rsidRPr="00DE07B3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  <w:tr w:rsidR="00692C80" w:rsidRPr="00AB3434" w14:paraId="529C2EBC" w14:textId="77777777" w:rsidTr="00D0703B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5F4314E6" w14:textId="77777777" w:rsidR="00692C80" w:rsidRPr="00DE07B3" w:rsidRDefault="00692C80" w:rsidP="00692C80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2B85B1CB" w14:textId="77777777" w:rsidR="00692C80" w:rsidRPr="00DE07B3" w:rsidRDefault="00692C80" w:rsidP="00692C80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Բացվող մաս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43028459" w14:textId="77777777" w:rsidR="00692C80" w:rsidRPr="00DE07B3" w:rsidRDefault="00692C80" w:rsidP="00692C80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</w:tbl>
          <w:p w14:paraId="4CB9CB6C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EBDC202" w14:textId="77777777" w:rsidR="00692C80" w:rsidRPr="00F77FA5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նշված  չափսերով </w:t>
            </w:r>
          </w:p>
          <w:p w14:paraId="20C87D0D" w14:textId="77777777" w:rsidR="00692C80" w:rsidRPr="00F4376E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2,90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467229A6" w14:textId="77777777" w:rsidR="00692C80" w:rsidRPr="00DE07B3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չափսերով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պատուհանների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1/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մասը բացվող: Ընդհանուրը  </w:t>
            </w:r>
            <w:r w:rsidRPr="00F77FA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10.71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քառ.մ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երկշերտ հերմետիկ ապակե փաթեթներով, որոնց ապակիների հաստությունը 24-26մմ, թափանցիկ առանց գունայնության: Պրոֆիլը հագեցած բազմաֆունկցիոնալ բացվածքներով: Բացվող պատուհանները պետք է ունենան բարձր որակ: Բռնակները՝ մետաղական, 10-15 սմ երկարությամբ:: Միջպրոֆիլային մետաղական թիթեղի հաստությունը պետք է լինի 1,5-2 մմ: Պատուհանների ամբողջ փաթեթը իրենց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մեջ ներառում նաև հակամիջատային վարագույներ: Մատակարարման փուլում պահանջվում է տրամադրել որակի սերտիֆիկատ, ինչպես նաև պրոֆիլի արտադրման՝ բոլոր փաստաթղթերը ստորագրված և կնիքված ֆիրմայի կողմից:  Պատուհանների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Պատուհանները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պատուհանները պետք է փակվեն հերմետիկ: Հին պատուհանների ապամոնտաժումը և նորի տեղադրումը կատարվում է մատակարարի կողմից: </w:t>
            </w:r>
          </w:p>
          <w:p w14:paraId="031348C8" w14:textId="24B49B8D" w:rsidR="00692C80" w:rsidRPr="00692C80" w:rsidRDefault="00692C80" w:rsidP="00692C80">
            <w:pPr>
              <w:rPr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BE5D1" w14:textId="008FDCE6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Металлопластиковые окна</w:t>
            </w:r>
          </w:p>
        </w:tc>
        <w:tc>
          <w:tcPr>
            <w:tcW w:w="3119" w:type="dxa"/>
            <w:shd w:val="clear" w:color="auto" w:fill="auto"/>
          </w:tcPr>
          <w:p w14:paraId="2A1A1648" w14:textId="77777777" w:rsidR="00692C80" w:rsidRPr="00206AC2" w:rsidRDefault="00692C80" w:rsidP="00692C80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Окна предназначены для 1-го этажа административного здания администрации общины Ани, Ширакский марз, РА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692C80" w:rsidRPr="00206AC2" w14:paraId="2F8972C0" w14:textId="77777777" w:rsidTr="00D0703B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45D5A0DF" w14:textId="77777777" w:rsidR="00692C80" w:rsidRPr="00206AC2" w:rsidRDefault="00692C80" w:rsidP="00692C80">
                  <w:pPr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</w:tr>
            <w:tr w:rsidR="00692C80" w:rsidRPr="00206AC2" w14:paraId="3E8591BA" w14:textId="77777777" w:rsidTr="00D0703B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470408EA" w14:textId="77777777" w:rsidR="00692C80" w:rsidRPr="00206AC2" w:rsidRDefault="00692C80" w:rsidP="00692C80">
                  <w:pPr>
                    <w:ind w:left="113" w:right="113"/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00D6D8B2" w14:textId="77777777" w:rsidR="00692C80" w:rsidRPr="00206AC2" w:rsidRDefault="00692C80" w:rsidP="00692C80">
                  <w:pPr>
                    <w:ind w:left="113" w:right="113"/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Открытая часть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4D43D66A" w14:textId="77777777" w:rsidR="00692C80" w:rsidRPr="00206AC2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</w:tr>
          </w:tbl>
          <w:p w14:paraId="25345D1F" w14:textId="77777777" w:rsidR="00692C80" w:rsidRPr="00206AC2" w:rsidRDefault="00692C80" w:rsidP="00692C80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</w:p>
          <w:p w14:paraId="64E52BDA" w14:textId="77777777" w:rsidR="00692C80" w:rsidRPr="00206AC2" w:rsidRDefault="00692C80" w:rsidP="00692C8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всего 3 штуки, с указанными размерами</w:t>
            </w:r>
          </w:p>
          <w:p w14:paraId="46D02FDF" w14:textId="77777777" w:rsidR="00692C80" w:rsidRPr="00206AC2" w:rsidRDefault="00692C80" w:rsidP="00692C8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2,90 м*2,00 м - 3 шт.</w:t>
            </w:r>
          </w:p>
          <w:p w14:paraId="3BC96A82" w14:textId="77777777" w:rsidR="00692C80" w:rsidRPr="00206AC2" w:rsidRDefault="00692C80" w:rsidP="00692C8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1/3 окон указанных размеров открываются. Общая площадь 10,71 кв.м с отклонением +-10%, из металлопластика, цвет белый, толщина профиля 70-80мм, со стеклопакетами двухслойными гермопакетами, толщина стекла 24-26мм, прозрачные. без окраски. Профиль оснащен многофункциональными отверстиями. Всплывающие окна должны быть качественными. Ручки металлические, длиной 10-15 см. Толщина межпрофильного металлического листа должна составлять 1,5-2 мм. Весь пакет окон также включает в себя тонировку против насекомых. На этапе поставки </w:t>
            </w: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необходимо предоставить сертификат качества, а также профильную продукцию со всеми документами, подписанными и заверенными печатью фирмы. Гарантия на Windows 48 месяцев. В местах крепления петель внутрь необходимо разместить дополнительные металлические детали, чтобы петли идеально прикрепились. Окна должны быть установлены прямо и прикреплены к стенам с помощью анкеров соответствующего размера. На заключительном этапе монтажных работ открытые площадки следует полностью закрыть строительной пеной. В конечном состоянии окна должны быть герметично закрыты. Демонтаж старых окон и установку новых осуществляет поставщик.</w:t>
            </w:r>
          </w:p>
          <w:p w14:paraId="60118C1B" w14:textId="3907D7AA" w:rsidR="00692C80" w:rsidRPr="00692C80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692C80" w:rsidRPr="00692C80" w14:paraId="68907569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90DA79B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BE3B9FB" w14:textId="3806E934" w:rsidR="00692C80" w:rsidRPr="00972C9B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15B0">
              <w:rPr>
                <w:color w:val="403931"/>
                <w:sz w:val="19"/>
                <w:szCs w:val="19"/>
              </w:rPr>
              <w:t>44192300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A628F66" w14:textId="707AFC37" w:rsidR="00692C80" w:rsidRPr="00731CFB" w:rsidRDefault="00692C80" w:rsidP="00692C8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15B0">
              <w:rPr>
                <w:rFonts w:ascii="GHEA Grapalat" w:hAnsi="GHEA Grapalat"/>
                <w:sz w:val="16"/>
                <w:szCs w:val="16"/>
                <w:lang w:val="hy-AM"/>
              </w:rPr>
              <w:t>պատուհանագոգ,պլաստմասե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12242542" w14:textId="123C4340" w:rsidR="00692C80" w:rsidRPr="006B610B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գծմ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FB6095B" w14:textId="2E85267D" w:rsidR="00692C80" w:rsidRPr="003B2194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C4B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5.7</w:t>
            </w:r>
          </w:p>
        </w:tc>
        <w:tc>
          <w:tcPr>
            <w:tcW w:w="3514" w:type="dxa"/>
            <w:shd w:val="clear" w:color="auto" w:fill="auto"/>
          </w:tcPr>
          <w:p w14:paraId="3FC02652" w14:textId="77777777" w:rsidR="00692C80" w:rsidRPr="00DE07B3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1-ին հարկի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պատուհաններին կից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նախատեսված պատուհանագոգ մետաղապլաստմասե, առանձին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ընդհանուրը՝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5,7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գծամետր +-10 տոկոսի շեղմամբ: Լայնությունը՝ 40 սմ, երկարությունը՝ 1,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սմ: Գույնը սպիտակ: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  <w:r w:rsidRPr="00ED27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Երաշխը 48 ամիս ժամկետ տևողությամբ: Պատուհանագոգի արժեքը իր մեջ ներառում է նաև տեղադրումը, որն իրականացնելու է վաճառողը: Հին պատուհանագոգերի ապամոնտաժումը և նորի տեղադրումը կատարվում է մատակարարի կողմից: </w:t>
            </w:r>
          </w:p>
          <w:p w14:paraId="2336C600" w14:textId="498AF72C" w:rsidR="00692C80" w:rsidRPr="00927D93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56BAF5" w14:textId="7CE977CF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пластиковые подоконники</w:t>
            </w:r>
          </w:p>
        </w:tc>
        <w:tc>
          <w:tcPr>
            <w:tcW w:w="3119" w:type="dxa"/>
            <w:shd w:val="clear" w:color="auto" w:fill="auto"/>
          </w:tcPr>
          <w:p w14:paraId="23A64559" w14:textId="77777777" w:rsidR="00692C80" w:rsidRPr="00206AC2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Металлопластиковые подоконники для окон 1-го этажа административного здания Анийского муниципалитета Ширакского марза РА, отдельные 3 шт, всего: 5,7 погонных метра с отклонением +-10 процентов. Ширина: 40 см, длина: 1,90 см. Цвет белый.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 Гарантия 48 месяцев. В стоимость подоконника также входит монтаж, который осуществит продавец. Демонтаж старых подоконников и установку новых осуществляет поставщик.</w:t>
            </w:r>
          </w:p>
          <w:p w14:paraId="27B1BC45" w14:textId="3CBF38A1" w:rsidR="00692C80" w:rsidRPr="00692C80" w:rsidRDefault="00692C80" w:rsidP="00692C80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692C80" w:rsidRPr="00692C80" w14:paraId="19A0B29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8F52EE4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11489F7" w14:textId="37B294CF" w:rsidR="00692C80" w:rsidRPr="004B578F" w:rsidRDefault="00692C80" w:rsidP="00692C80">
            <w:pPr>
              <w:spacing w:after="300"/>
              <w:jc w:val="center"/>
              <w:rPr>
                <w:color w:val="403931"/>
                <w:sz w:val="19"/>
                <w:szCs w:val="19"/>
              </w:rPr>
            </w:pPr>
            <w:r w:rsidRPr="00DA3957">
              <w:rPr>
                <w:rFonts w:ascii="Helvetica" w:hAnsi="Helvetica"/>
                <w:color w:val="403931"/>
                <w:sz w:val="19"/>
                <w:szCs w:val="19"/>
                <w:shd w:val="clear" w:color="auto" w:fill="FFFFFF"/>
              </w:rPr>
              <w:t>44221140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FD97DB" w14:textId="784E0DEF" w:rsidR="00692C80" w:rsidRPr="003A0217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A3957">
              <w:rPr>
                <w:rFonts w:ascii="GHEA Grapalat" w:hAnsi="GHEA Grapalat"/>
                <w:sz w:val="14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AB77F34" w14:textId="0DE2844A" w:rsidR="00692C80" w:rsidRPr="00E14893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C97D524" w14:textId="53ED186C" w:rsidR="00692C80" w:rsidRPr="005A2EED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44D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16.56</w:t>
            </w:r>
          </w:p>
        </w:tc>
        <w:tc>
          <w:tcPr>
            <w:tcW w:w="3514" w:type="dxa"/>
            <w:shd w:val="clear" w:color="auto" w:fill="auto"/>
          </w:tcPr>
          <w:p w14:paraId="73393596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1-ին հարկի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ներսի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մետաղապլաստե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692C80" w:rsidRPr="00DA3957" w14:paraId="191C7B65" w14:textId="77777777" w:rsidTr="00D0703B">
              <w:trPr>
                <w:trHeight w:val="2653"/>
              </w:trPr>
              <w:tc>
                <w:tcPr>
                  <w:tcW w:w="1208" w:type="dxa"/>
                  <w:tcBorders>
                    <w:bottom w:val="single" w:sz="4" w:space="0" w:color="auto"/>
                  </w:tcBorders>
                  <w:vAlign w:val="center"/>
                </w:tcPr>
                <w:p w14:paraId="74C9BD31" w14:textId="77777777" w:rsidR="00692C80" w:rsidRPr="00DE07B3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7A6BEAD2" w14:textId="77777777" w:rsidR="00692C80" w:rsidRPr="00DE07B3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74B683F7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8F1965D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100 տոկոս բացվող: չափսերը՝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0,90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2,30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մ, ընդհանուրը՝ </w:t>
            </w:r>
            <w:r w:rsidRPr="00CA44D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16.56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 մմ: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</w:p>
          <w:p w14:paraId="07223C8A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47FCD6D7" w14:textId="477929F0" w:rsidR="00692C80" w:rsidRPr="00692C80" w:rsidRDefault="00692C80" w:rsidP="00692C80">
            <w:pPr>
              <w:rPr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CADC15" w14:textId="0EEC5567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1B950CE3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 металлопластиковых одинарных дверей для интерьера 1-го этажа административного здания Анийского муниципалитета Ширакской области РА,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692C80" w:rsidRPr="00DA3957" w14:paraId="13914F8F" w14:textId="77777777" w:rsidTr="00D0703B">
              <w:trPr>
                <w:trHeight w:val="2653"/>
              </w:trPr>
              <w:tc>
                <w:tcPr>
                  <w:tcW w:w="1208" w:type="dxa"/>
                  <w:tcBorders>
                    <w:bottom w:val="single" w:sz="4" w:space="0" w:color="auto"/>
                  </w:tcBorders>
                  <w:vAlign w:val="center"/>
                </w:tcPr>
                <w:p w14:paraId="401C2A58" w14:textId="77777777" w:rsidR="00692C80" w:rsidRPr="00DE07B3" w:rsidRDefault="00692C80" w:rsidP="00692C80">
                  <w:pPr>
                    <w:jc w:val="center"/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206AC2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металлопластик</w:t>
                  </w:r>
                </w:p>
              </w:tc>
            </w:tr>
          </w:tbl>
          <w:p w14:paraId="48A5CF68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C1293F0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100-процентное попадание. размеры: 0,90м*2,30м, общая площадь: 16,56 кв.м. с отклонением +-10 процентов, металлопластик, цвет белый, толщина профиля 70-80мм, ручка длиной 10-15 см, алюминий или нержавеющая сталь, с запирающим механизмом. Толщина межпрофильного металлического листа должна составлять 1,5-2,0 мм.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</w:t>
            </w:r>
          </w:p>
          <w:p w14:paraId="0FC218C9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Гарантия на дверь 48 месяцев. В местах крепления петель внутрь необходимо разместить дополнительные металлические детали, чтобы петли идеально прикрепились. Двери должны быть установлены прямо и прикреплены к стенам с помощью анкеров соответствующего размера. На заключительном этапе монтажных работ открытые площадки следует полностью закрыть строительной пеной – В конечном состоянии двери должны быть герметично закрыты. Демонтаж старых дверей и установку новых осуществляет поставщик.</w:t>
            </w:r>
          </w:p>
          <w:p w14:paraId="79F72704" w14:textId="243D8C25" w:rsidR="00692C80" w:rsidRPr="00692C80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692C80" w:rsidRPr="00692C80" w14:paraId="629CADB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4F07205" w14:textId="77777777" w:rsidR="00692C80" w:rsidRPr="00D73AD8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7530CDF" w14:textId="041E0FF2" w:rsidR="00692C80" w:rsidRPr="008C21BF" w:rsidRDefault="00692C80" w:rsidP="00692C80">
            <w:pPr>
              <w:spacing w:after="300"/>
              <w:jc w:val="center"/>
              <w:rPr>
                <w:rFonts w:ascii="Helvetica" w:hAnsi="Helvetica"/>
                <w:color w:val="403931"/>
                <w:sz w:val="21"/>
                <w:szCs w:val="21"/>
                <w:lang w:val="en-US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44221140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821A5CC" w14:textId="5C900345" w:rsidR="00692C80" w:rsidRPr="003A0217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DE25455" w14:textId="1767D3D9" w:rsidR="00692C80" w:rsidRDefault="00692C80" w:rsidP="00692C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ECA16D2" w14:textId="1A6D579D" w:rsidR="00692C80" w:rsidRPr="002B4F2C" w:rsidRDefault="00692C80" w:rsidP="00692C8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D6D08">
              <w:rPr>
                <w:rFonts w:ascii="GHEA Grapalat" w:hAnsi="GHEA Grapalat"/>
                <w:sz w:val="16"/>
                <w:szCs w:val="16"/>
                <w:lang w:val="hy-AM"/>
              </w:rPr>
              <w:t>17.4</w:t>
            </w:r>
          </w:p>
        </w:tc>
        <w:tc>
          <w:tcPr>
            <w:tcW w:w="3514" w:type="dxa"/>
            <w:shd w:val="clear" w:color="auto" w:fill="auto"/>
          </w:tcPr>
          <w:p w14:paraId="0E4AB1AF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մուտքի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ապակե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</w:t>
            </w:r>
          </w:p>
          <w:p w14:paraId="628F43B7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3239" w:type="dxa"/>
              <w:tblLayout w:type="fixed"/>
              <w:tblLook w:val="04A0" w:firstRow="1" w:lastRow="0" w:firstColumn="1" w:lastColumn="0" w:noHBand="0" w:noVBand="1"/>
            </w:tblPr>
            <w:tblGrid>
              <w:gridCol w:w="555"/>
              <w:gridCol w:w="987"/>
              <w:gridCol w:w="1092"/>
              <w:gridCol w:w="605"/>
            </w:tblGrid>
            <w:tr w:rsidR="00692C80" w14:paraId="07F3F5F9" w14:textId="77777777" w:rsidTr="00DC1FC5">
              <w:trPr>
                <w:trHeight w:val="3002"/>
              </w:trPr>
              <w:tc>
                <w:tcPr>
                  <w:tcW w:w="555" w:type="dxa"/>
                </w:tcPr>
                <w:p w14:paraId="2D25A5B7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հատված, ապակի</w:t>
                  </w:r>
                </w:p>
              </w:tc>
              <w:tc>
                <w:tcPr>
                  <w:tcW w:w="987" w:type="dxa"/>
                </w:tcPr>
                <w:p w14:paraId="185315FB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տոկոս, Բացվող հատված, ապակի</w:t>
                  </w:r>
                </w:p>
              </w:tc>
              <w:tc>
                <w:tcPr>
                  <w:tcW w:w="1092" w:type="dxa"/>
                </w:tcPr>
                <w:p w14:paraId="467EF003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տոկոս, Բացվող հատված, ապակի</w:t>
                  </w:r>
                </w:p>
              </w:tc>
              <w:tc>
                <w:tcPr>
                  <w:tcW w:w="605" w:type="dxa"/>
                </w:tcPr>
                <w:p w14:paraId="0ECA74EA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հատված, ապակի</w:t>
                  </w:r>
                </w:p>
              </w:tc>
            </w:tr>
          </w:tbl>
          <w:p w14:paraId="35301771" w14:textId="77777777" w:rsidR="00692C80" w:rsidRPr="00DE07B3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100168E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չափսերը՝ </w:t>
            </w:r>
          </w:p>
          <w:p w14:paraId="4B6E0A85" w14:textId="77777777" w:rsidR="00692C80" w:rsidRDefault="00692C80" w:rsidP="00692C80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2,00մ*2,90մ- 3 հատ</w:t>
            </w:r>
          </w:p>
          <w:p w14:paraId="57966E5A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ընդհանուրը՝ </w:t>
            </w:r>
            <w:r w:rsidRPr="00AD6D08">
              <w:rPr>
                <w:rFonts w:ascii="GHEA Grapalat" w:hAnsi="GHEA Grapalat"/>
                <w:sz w:val="16"/>
                <w:szCs w:val="16"/>
                <w:lang w:val="hy-AM"/>
              </w:rPr>
              <w:t>17.4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քմ +-10 տոկոսի շեղմամբ,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երկկողմանի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բացվող: Ստանդարտ ուղղանկյուն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 դռների եզրերի պրոֆիլը ալյումին, գունը՝ մետալիկ, հաստությունը ոչ պակաս 1սմ: Ապակիները 1-1,5 սմ հաստությամբ,թափանցիկ, առանց գունայնության, հղկված, հրակայուն, ջերմամեկուսիչ /լոյե կոչվող տեսակի կամ համարժեքը/:: Դռների բռնակները կլորավուն, նույնպես ալյումին, գունը՝ մետալիկ, որոնց երկարությունը ոչ պակաս 80 սմ, բարձրությունը դռնից՝ 5-10 սմ, տրամագիծը՝ 3-5սմ:</w:t>
            </w:r>
          </w:p>
          <w:p w14:paraId="41144AF6" w14:textId="77777777" w:rsidR="00692C80" w:rsidRDefault="00692C80" w:rsidP="00692C80">
            <w:pPr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Ներկառուցված փական։</w:t>
            </w:r>
            <w:r w:rsidRPr="00DE07B3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Փականը տեղադրվում է դռան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ներքևի հատվածում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բանալիների քանակը առնվազն 3 հատ։</w:t>
            </w:r>
            <w:r w:rsidRPr="00DE07B3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</w:p>
          <w:p w14:paraId="428C9828" w14:textId="77777777" w:rsidR="00692C80" w:rsidRPr="00E036DE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C4B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Դռան փականները, ծխնիները և այլ դետալները բարձր որակի: </w:t>
            </w:r>
          </w:p>
          <w:p w14:paraId="26B619BD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</w:p>
          <w:p w14:paraId="33062E05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Դռների երաշխիքը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ամիս ժամկետ տևողությամբ: </w:t>
            </w:r>
          </w:p>
          <w:p w14:paraId="0F203ECD" w14:textId="77777777" w:rsidR="00692C80" w:rsidRDefault="00692C80" w:rsidP="00692C8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0D56F871" w14:textId="6315EECD" w:rsidR="00692C80" w:rsidRPr="00692C80" w:rsidRDefault="00692C80" w:rsidP="00692C80">
            <w:pPr>
              <w:rPr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տեսքը նախապես համաձայնեցնել պատվիրատուի հետ: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5B834" w14:textId="683638F6" w:rsidR="00692C80" w:rsidRPr="00782572" w:rsidRDefault="00692C80" w:rsidP="00692C8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03342730" w14:textId="77777777" w:rsidR="00692C80" w:rsidRPr="00A276CE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276C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 стеклянные двери для входа в административное здание Анийской общины, Ширакский марз, РА,</w:t>
            </w:r>
          </w:p>
          <w:p w14:paraId="02D00C8C" w14:textId="77777777" w:rsidR="00692C80" w:rsidRDefault="00692C80" w:rsidP="00692C8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276C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В следующей форме</w:t>
            </w:r>
          </w:p>
          <w:tbl>
            <w:tblPr>
              <w:tblStyle w:val="TableGrid"/>
              <w:tblW w:w="2796" w:type="dxa"/>
              <w:tblLayout w:type="fixed"/>
              <w:tblLook w:val="04A0" w:firstRow="1" w:lastRow="0" w:firstColumn="1" w:lastColumn="0" w:noHBand="0" w:noVBand="1"/>
            </w:tblPr>
            <w:tblGrid>
              <w:gridCol w:w="479"/>
              <w:gridCol w:w="852"/>
              <w:gridCol w:w="943"/>
              <w:gridCol w:w="522"/>
            </w:tblGrid>
            <w:tr w:rsidR="00692C80" w14:paraId="547D6583" w14:textId="77777777" w:rsidTr="00DC1FC5">
              <w:trPr>
                <w:trHeight w:val="2871"/>
              </w:trPr>
              <w:tc>
                <w:tcPr>
                  <w:tcW w:w="479" w:type="dxa"/>
                </w:tcPr>
                <w:p w14:paraId="027DFB81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Фиксированная секция, стекло</w:t>
                  </w:r>
                </w:p>
              </w:tc>
              <w:tc>
                <w:tcPr>
                  <w:tcW w:w="852" w:type="dxa"/>
                </w:tcPr>
                <w:p w14:paraId="36264785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процентов, Открывающаяся секция, стекло</w:t>
                  </w:r>
                </w:p>
              </w:tc>
              <w:tc>
                <w:tcPr>
                  <w:tcW w:w="943" w:type="dxa"/>
                </w:tcPr>
                <w:p w14:paraId="75928C5A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процентов, Открывающаяся секция, стекло</w:t>
                  </w:r>
                </w:p>
              </w:tc>
              <w:tc>
                <w:tcPr>
                  <w:tcW w:w="522" w:type="dxa"/>
                </w:tcPr>
                <w:p w14:paraId="121F43EC" w14:textId="77777777" w:rsidR="00692C80" w:rsidRDefault="00692C80" w:rsidP="00692C8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A276C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 xml:space="preserve">Фиксированная секция, стекло </w:t>
                  </w: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կի</w:t>
                  </w:r>
                </w:p>
              </w:tc>
            </w:tr>
          </w:tbl>
          <w:p w14:paraId="69AC35F1" w14:textId="77777777" w:rsidR="00692C80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</w:p>
          <w:p w14:paraId="0E9E5936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размеры:</w:t>
            </w:r>
          </w:p>
          <w:p w14:paraId="6BD12D5A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2,00м*2,90м - 3 шт.</w:t>
            </w:r>
          </w:p>
          <w:p w14:paraId="52C5D380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Общая: 17,4 кв.м с отклонением +-10 процентов, открывание на обе стороны. Стандартный прямоугольник. профиль кромки двери алюминий, цвет металлик, толщина не менее 1 см. Стекла толщиной 1-1,5 см, прозрачные, бесцветные, полированные, огнестойкие, теплоизоляционные (из лойя или его эквивалента). Дверные ручки круглые, тоже алюминиевые, цвета металлик, длина которых не менее 80 см, высота от двери 5-10 см, диаметр 3-5 см.</w:t>
            </w:r>
          </w:p>
          <w:p w14:paraId="0A4FAE72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Встроенный клапан. Замок устанавливается в нижней части двери, количество ключей не менее 3.</w:t>
            </w:r>
          </w:p>
          <w:p w14:paraId="2DE3EFD5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Дверные замки, петли и другие детали высокого качества.</w:t>
            </w:r>
          </w:p>
          <w:p w14:paraId="1C747C7F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</w:t>
            </w:r>
          </w:p>
          <w:p w14:paraId="3BD8DDDE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Гарантия на дверь 60 месяцев.</w:t>
            </w:r>
          </w:p>
          <w:p w14:paraId="09C45D4D" w14:textId="77777777" w:rsidR="00692C80" w:rsidRPr="00A276CE" w:rsidRDefault="00692C80" w:rsidP="00692C8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  <w:p w14:paraId="323627AC" w14:textId="4D3C09AB" w:rsidR="00692C80" w:rsidRPr="00692C80" w:rsidRDefault="00692C80" w:rsidP="00692C80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276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Предварительно согласуйте внешний вид двери с заказчиком.</w:t>
            </w:r>
          </w:p>
        </w:tc>
      </w:tr>
    </w:tbl>
    <w:p w14:paraId="18EE147C" w14:textId="084A0652" w:rsidR="00114156" w:rsidRPr="00692C80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</w:pPr>
      <w:bookmarkStart w:id="0" w:name="_Hlk172885624"/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Ապրանքը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պետք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է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լինի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570C4A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D45267">
        <w:rPr>
          <w:rFonts w:ascii="Sylfaen" w:hAnsi="Sylfaen" w:cs="Sylfaen"/>
          <w:b/>
          <w:bCs/>
          <w:color w:val="FF0000"/>
          <w:sz w:val="20"/>
          <w:szCs w:val="20"/>
          <w:lang w:val="pt-BR"/>
        </w:rPr>
        <w:t xml:space="preserve"> </w:t>
      </w:r>
    </w:p>
    <w:p w14:paraId="0094900C" w14:textId="77777777" w:rsidR="00114156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</w:rPr>
      </w:pPr>
      <w:r>
        <w:rPr>
          <w:rFonts w:ascii="Sylfaen" w:hAnsi="Sylfaen" w:cs="Sylfaen"/>
          <w:b/>
          <w:bCs/>
          <w:color w:val="FF0000"/>
          <w:sz w:val="20"/>
          <w:szCs w:val="20"/>
        </w:rPr>
        <w:t>Ապրանքի տեղափոխումն ու բեռնաթափումը պետք է իրականացնի մատակարարը:</w:t>
      </w:r>
    </w:p>
    <w:bookmarkEnd w:id="0"/>
    <w:p w14:paraId="68E0CA17" w14:textId="01FCF6C5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**&lt;&lt;Գնումների մասին»ՀՀ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12B5C74C" w14:textId="77777777" w:rsidR="00005098" w:rsidRPr="007472B0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62AB7A83" w14:textId="77777777" w:rsidR="00CD5A5F" w:rsidRPr="00005098" w:rsidRDefault="00CD5A5F">
      <w:pPr>
        <w:rPr>
          <w:lang w:val="hy-AM"/>
        </w:rPr>
      </w:pPr>
    </w:p>
    <w:sectPr w:rsidR="00CD5A5F" w:rsidRPr="00005098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abstractNum w:abstractNumId="1" w15:restartNumberingAfterBreak="0">
    <w:nsid w:val="24AD34A7"/>
    <w:multiLevelType w:val="hybridMultilevel"/>
    <w:tmpl w:val="3DECF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49ED"/>
    <w:rsid w:val="00114156"/>
    <w:rsid w:val="00123419"/>
    <w:rsid w:val="00200623"/>
    <w:rsid w:val="0025358E"/>
    <w:rsid w:val="0028388A"/>
    <w:rsid w:val="00296471"/>
    <w:rsid w:val="002B3162"/>
    <w:rsid w:val="002E4C87"/>
    <w:rsid w:val="004D0C28"/>
    <w:rsid w:val="005445DB"/>
    <w:rsid w:val="00562F3F"/>
    <w:rsid w:val="00655FCD"/>
    <w:rsid w:val="00692C80"/>
    <w:rsid w:val="00694C1F"/>
    <w:rsid w:val="006B7B5B"/>
    <w:rsid w:val="006F24DF"/>
    <w:rsid w:val="007174EE"/>
    <w:rsid w:val="00773ABB"/>
    <w:rsid w:val="007765D6"/>
    <w:rsid w:val="00795CF4"/>
    <w:rsid w:val="007A386B"/>
    <w:rsid w:val="007E6EB3"/>
    <w:rsid w:val="00887CE6"/>
    <w:rsid w:val="00893057"/>
    <w:rsid w:val="00927D93"/>
    <w:rsid w:val="00934FC3"/>
    <w:rsid w:val="009C3E13"/>
    <w:rsid w:val="009C79DC"/>
    <w:rsid w:val="009E04EF"/>
    <w:rsid w:val="00A41AF1"/>
    <w:rsid w:val="00A90F32"/>
    <w:rsid w:val="00B826C0"/>
    <w:rsid w:val="00C56362"/>
    <w:rsid w:val="00CA23FC"/>
    <w:rsid w:val="00CD0328"/>
    <w:rsid w:val="00CD5A5F"/>
    <w:rsid w:val="00D1132B"/>
    <w:rsid w:val="00D73AD8"/>
    <w:rsid w:val="00DC1FC5"/>
    <w:rsid w:val="00E8498E"/>
    <w:rsid w:val="00EA7A0D"/>
    <w:rsid w:val="00F50396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B430"/>
  <w15:docId w15:val="{F6DB6459-6A72-4678-96DF-54E8D52F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B5B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BalloonText">
    <w:name w:val="Balloon Text"/>
    <w:basedOn w:val="Normal"/>
    <w:link w:val="BalloonTextChar"/>
    <w:uiPriority w:val="99"/>
    <w:semiHidden/>
    <w:unhideWhenUsed/>
    <w:rsid w:val="00A4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AF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efaultParagraphFont"/>
    <w:rsid w:val="009C79DC"/>
  </w:style>
  <w:style w:type="paragraph" w:styleId="ListParagraph">
    <w:name w:val="List Paragraph"/>
    <w:basedOn w:val="Normal"/>
    <w:link w:val="ListParagraphChar"/>
    <w:uiPriority w:val="34"/>
    <w:qFormat/>
    <w:rsid w:val="00927D9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 w:eastAsia="ru-RU"/>
    </w:rPr>
  </w:style>
  <w:style w:type="character" w:customStyle="1" w:styleId="ListParagraphChar">
    <w:name w:val="List Paragraph Char"/>
    <w:link w:val="ListParagraph"/>
    <w:uiPriority w:val="34"/>
    <w:locked/>
    <w:rsid w:val="00927D93"/>
    <w:rPr>
      <w:rFonts w:ascii="Times Armenian" w:eastAsia="Times New Roman" w:hAnsi="Times Armenian" w:cs="Times Armenian"/>
      <w:sz w:val="24"/>
      <w:szCs w:val="24"/>
      <w:lang w:val="en-US" w:eastAsia="ru-RU"/>
    </w:rPr>
  </w:style>
  <w:style w:type="table" w:styleId="TableGrid">
    <w:name w:val="Table Grid"/>
    <w:basedOn w:val="TableNormal"/>
    <w:rsid w:val="00692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1626</Words>
  <Characters>9274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30</cp:revision>
  <dcterms:created xsi:type="dcterms:W3CDTF">2023-01-25T12:37:00Z</dcterms:created>
  <dcterms:modified xsi:type="dcterms:W3CDTF">2024-08-27T12:19:00Z</dcterms:modified>
</cp:coreProperties>
</file>