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603FA4E9" w:rsidR="00C970E9" w:rsidRPr="0095233F" w:rsidRDefault="00AB1205" w:rsidP="00FB2381">
      <w:pPr>
        <w:jc w:val="center"/>
        <w:rPr>
          <w:rFonts w:ascii="GHEA Grapalat" w:hAnsi="GHEA Grapalat"/>
          <w:b/>
          <w:bCs/>
          <w:sz w:val="24"/>
          <w:szCs w:val="24"/>
          <w:lang w:val="ru-RU"/>
        </w:rPr>
      </w:pPr>
      <w:r w:rsidRPr="0095233F">
        <w:rPr>
          <w:rFonts w:ascii="GHEA Grapalat" w:hAnsi="GHEA Grapalat"/>
          <w:b/>
          <w:bCs/>
          <w:sz w:val="24"/>
          <w:szCs w:val="24"/>
          <w:lang w:val="ru-RU"/>
        </w:rPr>
        <w:t xml:space="preserve">Для участия в процедуре закупки с кодом </w:t>
      </w:r>
      <w:r w:rsidR="005E1ADD" w:rsidRPr="005E1ADD">
        <w:rPr>
          <w:rFonts w:ascii="GHEA Grapalat" w:hAnsi="GHEA Grapalat"/>
          <w:b/>
          <w:bCs/>
          <w:sz w:val="24"/>
          <w:szCs w:val="24"/>
        </w:rPr>
        <w:t>ԿԾԿԾԻԳ</w:t>
      </w:r>
      <w:r w:rsidR="005E1ADD" w:rsidRPr="005E1ADD">
        <w:rPr>
          <w:rFonts w:ascii="GHEA Grapalat" w:hAnsi="GHEA Grapalat"/>
          <w:b/>
          <w:bCs/>
          <w:sz w:val="24"/>
          <w:szCs w:val="24"/>
          <w:lang w:val="ru-RU"/>
        </w:rPr>
        <w:t>-</w:t>
      </w:r>
      <w:r w:rsidR="005E1ADD" w:rsidRPr="005E1ADD">
        <w:rPr>
          <w:rFonts w:ascii="GHEA Grapalat" w:hAnsi="GHEA Grapalat"/>
          <w:b/>
          <w:bCs/>
          <w:sz w:val="24"/>
          <w:szCs w:val="24"/>
        </w:rPr>
        <w:t>ԷԱՃԱՊՁԲ</w:t>
      </w:r>
      <w:r w:rsidR="005E1ADD" w:rsidRPr="005E1ADD">
        <w:rPr>
          <w:rFonts w:ascii="GHEA Grapalat" w:hAnsi="GHEA Grapalat"/>
          <w:b/>
          <w:bCs/>
          <w:sz w:val="24"/>
          <w:szCs w:val="24"/>
          <w:lang w:val="ru-RU"/>
        </w:rPr>
        <w:t>-25-26/</w:t>
      </w:r>
      <w:r w:rsidR="00BE1B28" w:rsidRPr="00BE1B28">
        <w:rPr>
          <w:rFonts w:ascii="GHEA Grapalat" w:hAnsi="GHEA Grapalat"/>
          <w:b/>
          <w:bCs/>
          <w:sz w:val="24"/>
          <w:szCs w:val="24"/>
          <w:lang w:val="ru-RU"/>
        </w:rPr>
        <w:t>8</w:t>
      </w:r>
      <w:r w:rsidR="005E1ADD" w:rsidRPr="005E1ADD">
        <w:rPr>
          <w:rFonts w:ascii="GHEA Grapalat" w:hAnsi="GHEA Grapalat"/>
          <w:b/>
          <w:bCs/>
          <w:sz w:val="24"/>
          <w:szCs w:val="24"/>
          <w:lang w:val="ru-RU"/>
        </w:rPr>
        <w:t xml:space="preserve"> </w:t>
      </w:r>
      <w:r w:rsidRPr="0095233F">
        <w:rPr>
          <w:rFonts w:ascii="GHEA Grapalat" w:hAnsi="GHEA Grapalat"/>
          <w:b/>
          <w:bCs/>
          <w:sz w:val="24"/>
          <w:szCs w:val="24"/>
          <w:lang w:val="ru-RU"/>
        </w:rPr>
        <w:t>установлены следующие требования:</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355322" w:rsidRPr="00BE1B28" w14:paraId="3A686F88" w14:textId="77777777" w:rsidTr="00C01D0C">
        <w:trPr>
          <w:trHeight w:val="770"/>
          <w:jc w:val="center"/>
        </w:trPr>
        <w:tc>
          <w:tcPr>
            <w:tcW w:w="3297" w:type="dxa"/>
            <w:shd w:val="clear" w:color="auto" w:fill="auto"/>
            <w:vAlign w:val="center"/>
          </w:tcPr>
          <w:p w14:paraId="254D0A0C" w14:textId="3609285D" w:rsidR="00AB1205" w:rsidRPr="00734F11" w:rsidRDefault="00AB1205" w:rsidP="00AB1205">
            <w:pPr>
              <w:tabs>
                <w:tab w:val="left" w:pos="3030"/>
              </w:tabs>
              <w:spacing w:after="0" w:line="240" w:lineRule="auto"/>
              <w:rPr>
                <w:rFonts w:ascii="GHEA Grapalat" w:hAnsi="GHEA Grapalat"/>
                <w:b/>
                <w:sz w:val="24"/>
                <w:szCs w:val="24"/>
                <w:lang w:val="hy-AM"/>
              </w:rPr>
            </w:pPr>
            <w:r w:rsidRPr="00734F11">
              <w:rPr>
                <w:rFonts w:ascii="GHEA Grapalat" w:hAnsi="GHEA Grapalat"/>
                <w:b/>
                <w:sz w:val="24"/>
                <w:szCs w:val="24"/>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6716" w:type="dxa"/>
            <w:shd w:val="clear" w:color="auto" w:fill="auto"/>
            <w:vAlign w:val="center"/>
          </w:tcPr>
          <w:p w14:paraId="17873E29" w14:textId="72EA55C3" w:rsidR="00AB1205" w:rsidRPr="00734F11" w:rsidRDefault="00AB1205" w:rsidP="00AB1205">
            <w:pPr>
              <w:tabs>
                <w:tab w:val="left" w:pos="3030"/>
              </w:tabs>
              <w:spacing w:after="0" w:line="240" w:lineRule="auto"/>
              <w:rPr>
                <w:rFonts w:ascii="GHEA Grapalat" w:hAnsi="GHEA Grapalat"/>
                <w:sz w:val="24"/>
                <w:szCs w:val="24"/>
                <w:lang w:val="hy-AM"/>
              </w:rPr>
            </w:pPr>
            <w:r w:rsidRPr="00734F11">
              <w:rPr>
                <w:rFonts w:ascii="GHEA Grapalat" w:hAnsi="GHEA Grapalat"/>
                <w:sz w:val="24"/>
                <w:szCs w:val="24"/>
                <w:lang w:val="ru-RU"/>
              </w:rPr>
              <w:t>Представляется, если такое требование предусмотрено в технической характеристике закупки, определенном в заявке.</w:t>
            </w:r>
          </w:p>
        </w:tc>
      </w:tr>
      <w:tr w:rsidR="00355322" w:rsidRPr="00BE1B28" w14:paraId="338209E4" w14:textId="77777777" w:rsidTr="00C01D0C">
        <w:trPr>
          <w:trHeight w:val="84"/>
          <w:jc w:val="center"/>
        </w:trPr>
        <w:tc>
          <w:tcPr>
            <w:tcW w:w="3297" w:type="dxa"/>
            <w:shd w:val="clear" w:color="auto" w:fill="auto"/>
            <w:vAlign w:val="center"/>
          </w:tcPr>
          <w:p w14:paraId="538B7691" w14:textId="77CF3E34" w:rsidR="00AB1205" w:rsidRPr="00734F11" w:rsidRDefault="00AB1205" w:rsidP="00AB1205">
            <w:pPr>
              <w:tabs>
                <w:tab w:val="left" w:pos="3030"/>
              </w:tabs>
              <w:spacing w:after="0" w:line="240" w:lineRule="auto"/>
              <w:rPr>
                <w:rFonts w:ascii="GHEA Grapalat" w:hAnsi="GHEA Grapalat"/>
                <w:b/>
                <w:sz w:val="24"/>
                <w:szCs w:val="24"/>
                <w:lang w:val="hy-AM"/>
              </w:rPr>
            </w:pPr>
            <w:r w:rsidRPr="00734F11">
              <w:rPr>
                <w:rFonts w:ascii="GHEA Grapalat" w:hAnsi="GHEA Grapalat"/>
                <w:b/>
                <w:sz w:val="24"/>
                <w:szCs w:val="24"/>
                <w:lang w:val="ru-RU"/>
              </w:rPr>
              <w:t>Место поставки</w:t>
            </w:r>
          </w:p>
        </w:tc>
        <w:tc>
          <w:tcPr>
            <w:tcW w:w="6716" w:type="dxa"/>
            <w:shd w:val="clear" w:color="auto" w:fill="auto"/>
            <w:vAlign w:val="center"/>
          </w:tcPr>
          <w:p w14:paraId="2850816D" w14:textId="59D3D332" w:rsidR="00AB1205" w:rsidRPr="00734F11" w:rsidRDefault="00AB1205" w:rsidP="00AB1205">
            <w:pPr>
              <w:tabs>
                <w:tab w:val="left" w:pos="3030"/>
              </w:tabs>
              <w:spacing w:after="0" w:line="240" w:lineRule="auto"/>
              <w:rPr>
                <w:rFonts w:ascii="GHEA Grapalat" w:hAnsi="GHEA Grapalat"/>
                <w:sz w:val="24"/>
                <w:szCs w:val="24"/>
                <w:lang w:val="hy-AM"/>
              </w:rPr>
            </w:pPr>
            <w:r w:rsidRPr="00734F11">
              <w:rPr>
                <w:rFonts w:ascii="GHEA Grapalat" w:hAnsi="GHEA Grapalat"/>
                <w:sz w:val="24"/>
                <w:szCs w:val="24"/>
                <w:lang w:val="ru-RU"/>
              </w:rPr>
              <w:t>Внесен в список согласно Приложению 2 технической спецификации-графика закупок</w:t>
            </w:r>
          </w:p>
        </w:tc>
      </w:tr>
      <w:tr w:rsidR="00355322" w:rsidRPr="00734F11" w14:paraId="0E3BAE3A" w14:textId="77777777" w:rsidTr="00C01D0C">
        <w:trPr>
          <w:trHeight w:val="57"/>
          <w:jc w:val="center"/>
        </w:trPr>
        <w:tc>
          <w:tcPr>
            <w:tcW w:w="3297" w:type="dxa"/>
            <w:shd w:val="clear" w:color="auto" w:fill="auto"/>
            <w:vAlign w:val="center"/>
          </w:tcPr>
          <w:p w14:paraId="6714976B" w14:textId="7C950B83" w:rsidR="00AB1205" w:rsidRPr="00734F11" w:rsidRDefault="00AB1205" w:rsidP="00AB1205">
            <w:pPr>
              <w:tabs>
                <w:tab w:val="left" w:pos="3030"/>
              </w:tabs>
              <w:spacing w:after="0" w:line="240" w:lineRule="auto"/>
              <w:rPr>
                <w:rFonts w:ascii="GHEA Grapalat" w:hAnsi="GHEA Grapalat"/>
                <w:b/>
                <w:sz w:val="24"/>
                <w:szCs w:val="24"/>
                <w:lang w:val="hy-AM"/>
              </w:rPr>
            </w:pPr>
            <w:r w:rsidRPr="00734F11">
              <w:rPr>
                <w:rFonts w:ascii="GHEA Grapalat" w:hAnsi="GHEA Grapalat"/>
                <w:b/>
                <w:sz w:val="24"/>
                <w:szCs w:val="24"/>
                <w:lang w:val="ru-RU"/>
              </w:rPr>
              <w:t>Гарантийный срок</w:t>
            </w:r>
          </w:p>
        </w:tc>
        <w:tc>
          <w:tcPr>
            <w:tcW w:w="6716" w:type="dxa"/>
            <w:shd w:val="clear" w:color="auto" w:fill="auto"/>
            <w:vAlign w:val="center"/>
          </w:tcPr>
          <w:p w14:paraId="1C01DB02" w14:textId="5A12F0BF" w:rsidR="00AB1205" w:rsidRPr="00734F11" w:rsidRDefault="005E1ADD" w:rsidP="00AB1205">
            <w:pPr>
              <w:tabs>
                <w:tab w:val="left" w:pos="3030"/>
              </w:tabs>
              <w:spacing w:after="0" w:line="240" w:lineRule="auto"/>
              <w:rPr>
                <w:rFonts w:ascii="GHEA Grapalat" w:hAnsi="GHEA Grapalat"/>
                <w:sz w:val="24"/>
                <w:szCs w:val="24"/>
                <w:highlight w:val="yellow"/>
                <w:lang w:val="ru-RU"/>
              </w:rPr>
            </w:pPr>
            <w:r w:rsidRPr="00734F11">
              <w:rPr>
                <w:rFonts w:ascii="GHEA Grapalat" w:hAnsi="GHEA Grapalat"/>
                <w:sz w:val="24"/>
                <w:szCs w:val="24"/>
                <w:lang w:val="ru-RU"/>
              </w:rPr>
              <w:t>Определено 365 календарных дней</w:t>
            </w:r>
          </w:p>
        </w:tc>
      </w:tr>
      <w:tr w:rsidR="00734F11" w:rsidRPr="00BE1B28" w14:paraId="5593E423" w14:textId="77777777" w:rsidTr="00C01D0C">
        <w:trPr>
          <w:trHeight w:val="84"/>
          <w:jc w:val="center"/>
        </w:trPr>
        <w:tc>
          <w:tcPr>
            <w:tcW w:w="3297" w:type="dxa"/>
            <w:shd w:val="clear" w:color="auto" w:fill="auto"/>
            <w:vAlign w:val="center"/>
          </w:tcPr>
          <w:p w14:paraId="4E2E6EEA" w14:textId="002854D4" w:rsidR="00734F11" w:rsidRPr="00734F11" w:rsidRDefault="00734F11" w:rsidP="00734F11">
            <w:pPr>
              <w:tabs>
                <w:tab w:val="left" w:pos="3030"/>
              </w:tabs>
              <w:spacing w:after="0" w:line="240" w:lineRule="auto"/>
              <w:rPr>
                <w:rFonts w:ascii="GHEA Grapalat" w:hAnsi="GHEA Grapalat" w:cs="Sylfaen"/>
                <w:b/>
                <w:bCs/>
                <w:sz w:val="24"/>
                <w:szCs w:val="24"/>
                <w:highlight w:val="yellow"/>
              </w:rPr>
            </w:pPr>
            <w:r w:rsidRPr="00734F11">
              <w:rPr>
                <w:rFonts w:ascii="GHEA Grapalat" w:hAnsi="GHEA Grapalat"/>
                <w:b/>
                <w:sz w:val="24"/>
                <w:szCs w:val="24"/>
              </w:rPr>
              <w:t>Условия поставки</w:t>
            </w:r>
          </w:p>
        </w:tc>
        <w:tc>
          <w:tcPr>
            <w:tcW w:w="6716" w:type="dxa"/>
            <w:shd w:val="clear" w:color="auto" w:fill="auto"/>
            <w:vAlign w:val="center"/>
          </w:tcPr>
          <w:p w14:paraId="0624BDA2" w14:textId="77777777" w:rsidR="00734F11" w:rsidRPr="00734F11" w:rsidRDefault="00734F11" w:rsidP="00734F11">
            <w:pPr>
              <w:tabs>
                <w:tab w:val="left" w:pos="3030"/>
              </w:tabs>
              <w:spacing w:after="0" w:line="240" w:lineRule="auto"/>
              <w:jc w:val="both"/>
              <w:rPr>
                <w:rFonts w:ascii="GHEA Grapalat" w:hAnsi="GHEA Grapalat"/>
                <w:sz w:val="24"/>
                <w:szCs w:val="24"/>
                <w:lang w:val="ru-RU"/>
              </w:rPr>
            </w:pPr>
            <w:r w:rsidRPr="00734F11">
              <w:rPr>
                <w:rFonts w:ascii="GHEA Grapalat" w:hAnsi="GHEA Grapalat"/>
                <w:sz w:val="24"/>
                <w:szCs w:val="24"/>
                <w:lang w:val="ru-RU"/>
              </w:rPr>
              <w:t>Поставщик обязан предоставить Покупателю образцы продукции и по согласованию с последним доставить их по адресам, указанным в перечне школ (согласно приложению 2).</w:t>
            </w:r>
          </w:p>
          <w:p w14:paraId="6661EB7C" w14:textId="4A8BAA25" w:rsidR="00734F11" w:rsidRPr="00734F11" w:rsidRDefault="00734F11" w:rsidP="00734F11">
            <w:pPr>
              <w:spacing w:after="0" w:line="240" w:lineRule="auto"/>
              <w:jc w:val="both"/>
              <w:rPr>
                <w:rFonts w:ascii="GHEA Grapalat" w:hAnsi="GHEA Grapalat"/>
                <w:sz w:val="24"/>
                <w:szCs w:val="24"/>
                <w:highlight w:val="yellow"/>
                <w:lang w:val="hy-AM"/>
              </w:rPr>
            </w:pPr>
            <w:r w:rsidRPr="00734F11">
              <w:rPr>
                <w:rFonts w:ascii="GHEA Grapalat" w:hAnsi="GHEA Grapalat"/>
                <w:sz w:val="24"/>
                <w:szCs w:val="24"/>
                <w:lang w:val="ru-RU"/>
              </w:rPr>
              <w:t>Срок поставки товаров – включительно 31.08.2025г. в случае 2025 года и включительно 30.10.2026г. в случае 2026 года, включая подготовку, поставку, монтаж товара.</w:t>
            </w:r>
          </w:p>
        </w:tc>
      </w:tr>
      <w:tr w:rsidR="00734F11" w:rsidRPr="00BE1B28" w14:paraId="3384E5DA" w14:textId="77777777" w:rsidTr="00C01D0C">
        <w:trPr>
          <w:trHeight w:val="84"/>
          <w:jc w:val="center"/>
        </w:trPr>
        <w:tc>
          <w:tcPr>
            <w:tcW w:w="3297" w:type="dxa"/>
            <w:shd w:val="clear" w:color="auto" w:fill="auto"/>
            <w:vAlign w:val="center"/>
          </w:tcPr>
          <w:p w14:paraId="25A408BB" w14:textId="1CC81C38" w:rsidR="00734F11" w:rsidRPr="00734F11" w:rsidRDefault="00734F11" w:rsidP="00734F11">
            <w:pPr>
              <w:tabs>
                <w:tab w:val="left" w:pos="3030"/>
              </w:tabs>
              <w:spacing w:after="0" w:line="240" w:lineRule="auto"/>
              <w:rPr>
                <w:rFonts w:ascii="GHEA Grapalat" w:hAnsi="GHEA Grapalat"/>
                <w:b/>
                <w:sz w:val="24"/>
                <w:szCs w:val="24"/>
              </w:rPr>
            </w:pPr>
            <w:r w:rsidRPr="00734F11">
              <w:rPr>
                <w:rFonts w:ascii="GHEA Grapalat" w:hAnsi="GHEA Grapalat"/>
                <w:b/>
                <w:sz w:val="24"/>
                <w:szCs w:val="24"/>
                <w:lang w:val="ru-RU"/>
              </w:rPr>
              <w:t>Документы, необходимые от участника</w:t>
            </w:r>
          </w:p>
        </w:tc>
        <w:tc>
          <w:tcPr>
            <w:tcW w:w="6716" w:type="dxa"/>
            <w:shd w:val="clear" w:color="auto" w:fill="auto"/>
            <w:vAlign w:val="center"/>
          </w:tcPr>
          <w:p w14:paraId="007DE096"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В заявке участник представляет:</w:t>
            </w:r>
          </w:p>
          <w:p w14:paraId="781D9E13"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234638F7"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580416B3"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2FE7A8FF"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654AFB8D"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w:t>
            </w:r>
            <w:r w:rsidRPr="00734F11">
              <w:rPr>
                <w:rFonts w:ascii="GHEA Grapalat" w:hAnsi="GHEA Grapalat" w:cs="Sylfaen"/>
                <w:sz w:val="24"/>
                <w:szCs w:val="24"/>
                <w:lang w:val="hy-AM"/>
              </w:rPr>
              <w:lastRenderedPageBreak/>
              <w:t xml:space="preserve">организаций, имеющих принадлежащую ему долю (пай)  в размере более пятидесяти процентов; </w:t>
            </w:r>
          </w:p>
          <w:p w14:paraId="08A143EA" w14:textId="77777777" w:rsidR="00734F11" w:rsidRPr="00734F11" w:rsidRDefault="00734F11" w:rsidP="00734F11">
            <w:pPr>
              <w:pStyle w:val="norm"/>
              <w:spacing w:line="240" w:lineRule="auto"/>
              <w:ind w:firstLine="437"/>
              <w:rPr>
                <w:rFonts w:ascii="Cambria Math" w:hAnsi="Cambria Math" w:cs="Sylfaen"/>
                <w:sz w:val="24"/>
                <w:szCs w:val="24"/>
                <w:lang w:val="hy-AM"/>
              </w:rPr>
            </w:pPr>
            <w:r w:rsidRPr="00734F11">
              <w:rPr>
                <w:rFonts w:ascii="GHEA Grapalat" w:hAnsi="GHEA Grapalat" w:cs="Sylfaen"/>
                <w:sz w:val="24"/>
                <w:szCs w:val="24"/>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734F11">
              <w:rPr>
                <w:rFonts w:ascii="GHEA Grapalat" w:hAnsi="GHEA Grapalat" w:cs="Sylfaen"/>
                <w:sz w:val="24"/>
                <w:szCs w:val="24"/>
                <w:lang w:val="hy-AM" w:eastAsia="en-US"/>
              </w:rPr>
              <w:t xml:space="preserve"> </w:t>
            </w:r>
          </w:p>
          <w:p w14:paraId="2DB72CDE" w14:textId="7450C6FD" w:rsidR="00734F11" w:rsidRPr="00734F11" w:rsidRDefault="00734F11" w:rsidP="00734F11">
            <w:pPr>
              <w:spacing w:after="0" w:line="240" w:lineRule="auto"/>
              <w:ind w:firstLine="437"/>
              <w:jc w:val="both"/>
              <w:rPr>
                <w:rFonts w:ascii="GHEA Grapalat" w:hAnsi="GHEA Grapalat" w:cs="Sylfaen"/>
                <w:sz w:val="24"/>
                <w:szCs w:val="24"/>
                <w:lang w:val="ru-RU"/>
              </w:rPr>
            </w:pPr>
            <w:bookmarkStart w:id="1" w:name="_Hlk175666279"/>
            <w:r w:rsidRPr="00734F11">
              <w:rPr>
                <w:rFonts w:ascii="GHEA Grapalat" w:hAnsi="GHEA Grapalat" w:cs="Sylfaen"/>
                <w:sz w:val="24"/>
                <w:szCs w:val="24"/>
                <w:lang w:val="hy-AM"/>
              </w:rPr>
              <w:t xml:space="preserve">2) </w:t>
            </w:r>
            <w:r w:rsidRPr="00734F11">
              <w:rPr>
                <w:rFonts w:ascii="GHEA Grapalat" w:hAnsi="GHEA Grapalat"/>
                <w:sz w:val="24"/>
                <w:szCs w:val="24"/>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734F11">
              <w:rPr>
                <w:rFonts w:ascii="GHEA Grapalat" w:hAnsi="GHEA Grapalat" w:cs="Sylfaen"/>
                <w:sz w:val="24"/>
                <w:szCs w:val="24"/>
                <w:lang w:val="ru-RU"/>
              </w:rPr>
              <w:t xml:space="preserve">, </w:t>
            </w:r>
            <w:r w:rsidRPr="00734F11">
              <w:rPr>
                <w:rFonts w:ascii="GHEA Grapalat" w:hAnsi="GHEA Grapalat" w:cs="Sylfaen"/>
                <w:b/>
                <w:bCs/>
                <w:sz w:val="24"/>
                <w:szCs w:val="24"/>
                <w:lang w:val="ru-RU"/>
              </w:rPr>
              <w:t xml:space="preserve">по установленному формату (прилагается) </w:t>
            </w:r>
            <w:r w:rsidRPr="00734F11">
              <w:rPr>
                <w:rFonts w:ascii="GHEA Grapalat" w:hAnsi="GHEA Grapalat" w:cs="Sylfaen"/>
                <w:b/>
                <w:bCs/>
                <w:color w:val="FF0000"/>
                <w:sz w:val="24"/>
                <w:szCs w:val="24"/>
                <w:lang w:val="hy-AM"/>
              </w:rPr>
              <w:t>(необходимо предоставить как утвержденную, так и рабочую (</w:t>
            </w:r>
            <w:r w:rsidRPr="00734F11">
              <w:rPr>
                <w:rFonts w:ascii="GHEA Grapalat" w:hAnsi="GHEA Grapalat" w:cs="Sylfaen"/>
                <w:b/>
                <w:bCs/>
                <w:color w:val="FF0000"/>
                <w:sz w:val="24"/>
                <w:szCs w:val="24"/>
              </w:rPr>
              <w:t>word</w:t>
            </w:r>
            <w:r w:rsidRPr="00734F11">
              <w:rPr>
                <w:rFonts w:ascii="GHEA Grapalat" w:hAnsi="GHEA Grapalat" w:cs="Sylfaen"/>
                <w:b/>
                <w:bCs/>
                <w:color w:val="FF0000"/>
                <w:sz w:val="24"/>
                <w:szCs w:val="24"/>
                <w:lang w:val="hy-AM"/>
              </w:rPr>
              <w:t>) версии)</w:t>
            </w:r>
            <w:r w:rsidRPr="00734F11">
              <w:rPr>
                <w:rFonts w:ascii="GHEA Grapalat" w:hAnsi="GHEA Grapalat" w:cs="Sylfaen"/>
                <w:sz w:val="24"/>
                <w:szCs w:val="24"/>
                <w:lang w:val="ru-RU"/>
              </w:rPr>
              <w:t>.</w:t>
            </w:r>
          </w:p>
          <w:bookmarkEnd w:id="0"/>
          <w:p w14:paraId="674117B7" w14:textId="5F1E3B3E" w:rsidR="00734F11" w:rsidRPr="00734F11" w:rsidRDefault="00734F11" w:rsidP="00734F11">
            <w:pPr>
              <w:pStyle w:val="norm"/>
              <w:spacing w:line="240" w:lineRule="auto"/>
              <w:ind w:firstLine="437"/>
              <w:rPr>
                <w:rFonts w:ascii="GHEA Grapalat" w:hAnsi="GHEA Grapalat" w:cs="Sylfaen"/>
                <w:sz w:val="24"/>
                <w:szCs w:val="24"/>
                <w:lang w:val="hy-AM" w:eastAsia="en-US"/>
              </w:rPr>
            </w:pPr>
            <w:r w:rsidRPr="00734F11">
              <w:rPr>
                <w:rFonts w:ascii="GHEA Grapalat" w:hAnsi="GHEA Grapalat" w:cs="Sylfaen"/>
                <w:sz w:val="24"/>
                <w:szCs w:val="24"/>
                <w:lang w:val="hy-AM" w:eastAsia="en-US"/>
              </w:rPr>
              <w:t xml:space="preserve">3) </w:t>
            </w:r>
            <w:r w:rsidRPr="00734F11">
              <w:rPr>
                <w:rFonts w:ascii="GHEA Grapalat" w:hAnsi="GHEA Grapalat"/>
                <w:sz w:val="24"/>
                <w:szCs w:val="24"/>
                <w:lang w:val="ru-RU"/>
              </w:rPr>
              <w:t>утвержденное им ценовое предложение (предоставляется участником через систему)</w:t>
            </w:r>
            <w:r w:rsidRPr="00734F11">
              <w:rPr>
                <w:rFonts w:ascii="GHEA Grapalat" w:hAnsi="GHEA Grapalat" w:cs="Sylfaen"/>
                <w:sz w:val="24"/>
                <w:szCs w:val="24"/>
                <w:lang w:val="hy-AM" w:eastAsia="en-US"/>
              </w:rPr>
              <w:t>.</w:t>
            </w:r>
          </w:p>
          <w:bookmarkEnd w:id="1"/>
          <w:p w14:paraId="6E23D089" w14:textId="7F88BD17" w:rsidR="00734F11" w:rsidRPr="00734F11" w:rsidRDefault="00BE1B28" w:rsidP="00734F11">
            <w:pPr>
              <w:pStyle w:val="norm"/>
              <w:spacing w:line="240" w:lineRule="auto"/>
              <w:ind w:firstLine="437"/>
              <w:rPr>
                <w:rFonts w:ascii="GHEA Grapalat" w:hAnsi="GHEA Grapalat" w:cs="Sylfaen"/>
                <w:sz w:val="24"/>
                <w:szCs w:val="24"/>
                <w:lang w:val="ru-RU" w:eastAsia="en-US"/>
              </w:rPr>
            </w:pPr>
            <w:r w:rsidRPr="00BE1B28">
              <w:rPr>
                <w:rFonts w:ascii="GHEA Grapalat" w:hAnsi="GHEA Grapalat" w:cs="Sylfaen"/>
                <w:sz w:val="24"/>
                <w:szCs w:val="24"/>
                <w:lang w:val="ru-RU" w:eastAsia="en-US"/>
              </w:rPr>
              <w:t>4</w:t>
            </w:r>
            <w:r w:rsidR="00734F11" w:rsidRPr="00734F11">
              <w:rPr>
                <w:rFonts w:ascii="GHEA Grapalat" w:hAnsi="GHEA Grapalat" w:cs="Sylfaen"/>
                <w:sz w:val="24"/>
                <w:szCs w:val="24"/>
                <w:lang w:val="hy-AM" w:eastAsia="en-US"/>
              </w:rPr>
              <w:t>) копию агентского договора и данные лица, являющегося стороной этого договора, если заключаемый договор будет исполняться через агентство</w:t>
            </w:r>
            <w:r w:rsidR="00734F11" w:rsidRPr="00734F11">
              <w:rPr>
                <w:rFonts w:ascii="GHEA Grapalat" w:hAnsi="GHEA Grapalat" w:cs="Sylfaen"/>
                <w:sz w:val="24"/>
                <w:szCs w:val="24"/>
                <w:lang w:val="ru-RU" w:eastAsia="en-US"/>
              </w:rPr>
              <w:t>.</w:t>
            </w:r>
          </w:p>
          <w:p w14:paraId="6F041918" w14:textId="7A434AD0" w:rsidR="00734F11" w:rsidRPr="00734F11" w:rsidRDefault="00BE1B28" w:rsidP="00734F11">
            <w:pPr>
              <w:pStyle w:val="norm"/>
              <w:widowControl w:val="0"/>
              <w:tabs>
                <w:tab w:val="left" w:pos="990"/>
              </w:tabs>
              <w:spacing w:line="240" w:lineRule="auto"/>
              <w:ind w:firstLine="437"/>
              <w:rPr>
                <w:rFonts w:ascii="GHEA Grapalat" w:hAnsi="GHEA Grapalat"/>
                <w:sz w:val="24"/>
                <w:szCs w:val="24"/>
                <w:lang w:val="ru-RU"/>
              </w:rPr>
            </w:pPr>
            <w:r w:rsidRPr="00BE1B28">
              <w:rPr>
                <w:rFonts w:ascii="GHEA Grapalat" w:hAnsi="GHEA Grapalat" w:cs="Sylfaen"/>
                <w:sz w:val="24"/>
                <w:szCs w:val="24"/>
                <w:lang w:val="ru-RU" w:eastAsia="en-US"/>
              </w:rPr>
              <w:t>5</w:t>
            </w:r>
            <w:r w:rsidR="00734F11" w:rsidRPr="00734F11">
              <w:rPr>
                <w:rFonts w:ascii="GHEA Grapalat" w:hAnsi="GHEA Grapalat" w:cs="Sylfaen"/>
                <w:sz w:val="24"/>
                <w:szCs w:val="24"/>
                <w:lang w:val="hy-AM" w:eastAsia="en-US"/>
              </w:rPr>
              <w:t xml:space="preserve">) </w:t>
            </w:r>
            <w:r w:rsidR="00734F11" w:rsidRPr="00734F11">
              <w:rPr>
                <w:rFonts w:ascii="GHEA Grapalat" w:hAnsi="GHEA Grapalat"/>
                <w:sz w:val="24"/>
                <w:szCs w:val="24"/>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B439B58" w14:textId="77777777" w:rsidR="00734F11" w:rsidRPr="00734F11" w:rsidRDefault="00734F11" w:rsidP="00734F11">
            <w:pPr>
              <w:tabs>
                <w:tab w:val="left" w:pos="990"/>
              </w:tabs>
              <w:spacing w:after="0" w:line="240" w:lineRule="auto"/>
              <w:ind w:firstLine="437"/>
              <w:jc w:val="both"/>
              <w:rPr>
                <w:rFonts w:ascii="GHEA Grapalat" w:hAnsi="GHEA Grapalat" w:cs="Sylfaen"/>
                <w:sz w:val="24"/>
                <w:szCs w:val="24"/>
                <w:lang w:val="ru-RU"/>
              </w:rPr>
            </w:pPr>
            <w:r w:rsidRPr="00734F11">
              <w:rPr>
                <w:rFonts w:ascii="GHEA Grapalat" w:hAnsi="GHEA Grapalat" w:cs="Sylfaen"/>
                <w:sz w:val="24"/>
                <w:szCs w:val="24"/>
                <w:lang w:val="ru-RU"/>
              </w:rPr>
              <w:t xml:space="preserve">При этом в случае участия в настоящей процедуре в порядке совместной деятельности (консорциумом): </w:t>
            </w:r>
          </w:p>
          <w:p w14:paraId="3BAB288E" w14:textId="77777777" w:rsidR="00734F11" w:rsidRPr="00734F11" w:rsidRDefault="00734F11" w:rsidP="00734F11">
            <w:pPr>
              <w:pStyle w:val="ListParagraph"/>
              <w:numPr>
                <w:ilvl w:val="0"/>
                <w:numId w:val="3"/>
              </w:numPr>
              <w:tabs>
                <w:tab w:val="left" w:pos="567"/>
              </w:tabs>
              <w:spacing w:line="240" w:lineRule="auto"/>
              <w:ind w:left="0" w:firstLine="437"/>
              <w:jc w:val="both"/>
              <w:rPr>
                <w:rFonts w:ascii="GHEA Grapalat" w:hAnsi="GHEA Grapalat" w:cs="Sylfaen"/>
                <w:sz w:val="24"/>
                <w:szCs w:val="24"/>
                <w:lang w:val="ru-RU"/>
              </w:rPr>
            </w:pPr>
            <w:r w:rsidRPr="00734F11">
              <w:rPr>
                <w:rFonts w:ascii="GHEA Grapalat" w:hAnsi="GHEA Grapalat" w:cs="Sylfaen"/>
                <w:sz w:val="24"/>
                <w:szCs w:val="24"/>
                <w:lang w:val="ru-RU"/>
              </w:rPr>
              <w:t xml:space="preserve">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w:t>
            </w:r>
            <w:r w:rsidRPr="00734F11">
              <w:rPr>
                <w:rFonts w:ascii="GHEA Grapalat" w:hAnsi="GHEA Grapalat" w:cs="Sylfaen"/>
                <w:sz w:val="24"/>
                <w:szCs w:val="24"/>
                <w:lang w:val="ru-RU"/>
              </w:rPr>
              <w:lastRenderedPageBreak/>
              <w:t>по вскрытию заявок отклоняются как в порядке совместной деятельности, так и отдельно представленные заявки;</w:t>
            </w:r>
          </w:p>
          <w:p w14:paraId="4AAEEB47" w14:textId="303FA229" w:rsidR="00734F11" w:rsidRPr="00734F11" w:rsidRDefault="00734F11" w:rsidP="00734F11">
            <w:pPr>
              <w:pStyle w:val="norm"/>
              <w:spacing w:line="240" w:lineRule="auto"/>
              <w:ind w:firstLine="0"/>
              <w:rPr>
                <w:rFonts w:ascii="GHEA Grapalat" w:hAnsi="GHEA Grapalat" w:cs="Sylfaen"/>
                <w:sz w:val="24"/>
                <w:szCs w:val="24"/>
                <w:lang w:val="hy-AM" w:eastAsia="en-US"/>
              </w:rPr>
            </w:pPr>
            <w:r w:rsidRPr="00734F11">
              <w:rPr>
                <w:rFonts w:ascii="GHEA Grapalat" w:hAnsi="GHEA Grapalat" w:cs="Sylfaen"/>
                <w:sz w:val="24"/>
                <w:szCs w:val="24"/>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734F11">
              <w:rPr>
                <w:rFonts w:ascii="GHEA Grapalat" w:hAnsi="GHEA Grapalat" w:cs="Sylfaen"/>
                <w:sz w:val="24"/>
                <w:szCs w:val="24"/>
                <w:lang w:val="hy-AM"/>
              </w:rPr>
              <w:t>.</w:t>
            </w:r>
          </w:p>
        </w:tc>
      </w:tr>
      <w:tr w:rsidR="00734F11" w:rsidRPr="00BE1B28" w14:paraId="1465F235" w14:textId="77777777" w:rsidTr="00987F99">
        <w:trPr>
          <w:trHeight w:val="84"/>
          <w:jc w:val="center"/>
        </w:trPr>
        <w:tc>
          <w:tcPr>
            <w:tcW w:w="10013" w:type="dxa"/>
            <w:gridSpan w:val="2"/>
            <w:shd w:val="clear" w:color="auto" w:fill="auto"/>
            <w:vAlign w:val="center"/>
          </w:tcPr>
          <w:p w14:paraId="3756B4E1" w14:textId="648E7CD2" w:rsidR="00734F11" w:rsidRPr="00734F11" w:rsidRDefault="00734F11" w:rsidP="00734F11">
            <w:pPr>
              <w:pStyle w:val="BodyTextIndent2"/>
              <w:spacing w:line="240" w:lineRule="auto"/>
              <w:ind w:hanging="27"/>
              <w:jc w:val="center"/>
              <w:rPr>
                <w:rFonts w:ascii="GHEA Grapalat" w:hAnsi="GHEA Grapalat" w:cs="Sylfaen"/>
                <w:sz w:val="24"/>
                <w:szCs w:val="24"/>
                <w:lang w:val="hy-AM"/>
              </w:rPr>
            </w:pPr>
            <w:r w:rsidRPr="00734F11">
              <w:rPr>
                <w:rFonts w:ascii="GHEA Grapalat" w:hAnsi="GHEA Grapalat"/>
                <w:b/>
                <w:sz w:val="24"/>
                <w:szCs w:val="24"/>
                <w:lang w:val="ru-RU"/>
              </w:rPr>
              <w:lastRenderedPageBreak/>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95233F" w:rsidRDefault="00FB2381">
      <w:pPr>
        <w:rPr>
          <w:lang w:val="ru-RU"/>
        </w:rPr>
      </w:pPr>
    </w:p>
    <w:sectPr w:rsidR="00FB2381" w:rsidRPr="0095233F"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355322"/>
    <w:rsid w:val="00403A2F"/>
    <w:rsid w:val="005E1ADD"/>
    <w:rsid w:val="006E0F15"/>
    <w:rsid w:val="00734F11"/>
    <w:rsid w:val="0095233F"/>
    <w:rsid w:val="00A528A1"/>
    <w:rsid w:val="00A56BC8"/>
    <w:rsid w:val="00AB1205"/>
    <w:rsid w:val="00B669BD"/>
    <w:rsid w:val="00BE1B28"/>
    <w:rsid w:val="00C970E9"/>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676</Words>
  <Characters>3855</Characters>
  <Application>Microsoft Office Word</Application>
  <DocSecurity>0</DocSecurity>
  <Lines>32</Lines>
  <Paragraphs>9</Paragraphs>
  <ScaleCrop>false</ScaleCrop>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Hasmik Gulabyan</cp:lastModifiedBy>
  <cp:revision>13</cp:revision>
  <dcterms:created xsi:type="dcterms:W3CDTF">2024-03-20T11:43:00Z</dcterms:created>
  <dcterms:modified xsi:type="dcterms:W3CDTF">2024-08-28T12:17:00Z</dcterms:modified>
</cp:coreProperties>
</file>