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ԿԾԿԾԻԳ-ԷԱՃԱՊՁԲ-25-26/9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Асмик Гулабян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hgulabyan.cep@gmail.com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+37444365833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ԿԾԿԾԻԳ-ԷԱՃԱՊՁԲ-25-26/9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ԿԾԿԾԻԳ-ԷԱՃԱՊՁԲ-25-26/9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ԿԾԿԾԻԳ-ԷԱՃԱՊՁԲ-25-26/9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ԿԾԿԾԻԳ-ԷԱՃԱՊՁԲ-25-26/9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hgulabyan.cep@gmail.com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ԿԾԿԾԻԳ-ԷԱՃԱՊՁԲ-25-26/9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431.51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2024.09.12.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ԿԾԿԾԻԳ-ԷԱՃԱՊՁԲ-25-26/9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ԿԾԿԾԻԳ-ԷԱՃԱՊՁԲ-25-26/9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"ԿԾԿԾԻԳ-ԷԱՃԱՊՁԲ-25-26/9"*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БРП ОНКС РА “Центр образовательных программ”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ԿԾԿԾԻԳ-ԷԱՃԱՊՁԲ-25-26/9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"ԿԾԿԾԻԳ-ԷԱՃԱՊՁԲ-25-26/9"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ԿԾԿԾԻԳ-ԷԱՃԱՊՁԲ-25-26/9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"ԿԾԿԾԻԳ-ԷԱՃԱՊՁԲ-25-26/9"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ԿԾԿԾԻԳ-ԷԱՃԱՊՁԲ-25-26/9*.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ԿԾԿԾԻԳ-ԷԱՃԱՊՁԲ-25-26/9*</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ԿԾԿԾԻԳ-ԷԱՃԱՊՁԲ-25-26/9</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ԿԾԿԾԻԳ-ԷԱՃԱՊՁԲ-25-26/9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с 5 плоскостями мелка,
размер. (Д) 3000 х (в) 1000 мм.
Цвет. зеленый, состоит из 3 элементов, соединенных 4 шарнирными петлями (петлями) с возможностью поворота на 180 градусов, с фланцевым алюминиевым профилем.
При этом поставщик должен закрепить доски на стенах соответствующих классов в школах на высоте 95 см от пола.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«О закупках» и расчет срока в графе будет произведен после вступления в силу соглашения, подписанного между сторонами, в случае предоставлены финансовых средств и поставка будет осуществлена в 31.08.2025 включительно, косательно 2025 года и 30.10.2026 включительно, косательно 2026 года, с соблюдением требованиям постановленнего Правительством РА от 04/05/17г., определенные абзацем «ը»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ԿԾԿԾԻԳ-ԷԱՃԱՊՁԲ-25-26/9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