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իր համակարգով լեդ էկրանի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իր համակարգով լեդ էկրանի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իր համակարգով լեդ էկրանի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իր համակարգով լեդ էկրանի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ՀՀԿԳՄՍՆԷԱՃԱՊՁԲ-24/69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ՀՀԿԳՄՍՆԷԱՃԱՊՁԲ-24/69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«ՀՀԿԳՄՍՆԷԱՃԱՊՁԲ-24/69»*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«ՀՀԿԳՄՍՆԷԱՃԱՊՁԲ-24/69»*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ՀՀԿԳՄՍՆԷԱՃԱՊՁԲ-24/69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 համերգասրահի LED էկրան իր համակարգով բաղկացած է` լեդ էկրաններից, էլեկտրական ճախարակից, Էլեկտրական ճախարակի կառավարման վահանակից, ալյումինե կոնստրուկցիաներից և մալուխներից: Նշված լեդ էկրանները, էլեկտրական ճախարակը, Էլեկտրական ճախարակի կառավարման վահանակը, ալյումինե կոնստրուկցիաները և մալուխները պետք է համապատասխանեն կից ներկայացված տեխնիկական առաջադրանքին: Եթե անհրաժեշտություն առաջանա, Մատակարարը պարտավոր է իր հաշվին և իր միջոցներով տրամադրել տեխնիկական առաջադրանքում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Մաշտոցի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15.12.2024թ,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