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насоса для удаления сточных вод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ԵՋԷԿ-ԷԱՃԱՊՁԲ-24/79</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насоса для удаления сточных вод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насоса для удаления сточных вод</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насоса для удаления сточных вод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Скважинный насос
для удаления сточных вод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ԵՋԷԿ-ԷԱՃԱՊՁԲ-24/79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ԵՋԷԿ-ԷԱՃԱՊՁԲ-24/79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Скважинный насос
для удаления сточных 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Насосная водяная скважина, предназначенная для перекачивания загрязненной воды в жилых, городских и промышленных районах.
Скорость потока. Qmax 45 (м³/ч), Давление 15 м, Мощность: 1,1 кВт
Подключение: 2", Напряжение: 220 В, Степень защиты IP: IP 68, Максимальный размер твердых частиц в взвеси: 50 мм" PEDROLLO BCm 15/50-N cab. 10m 48SGM82A0A1U или GRUNDFOS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Скважинный насос
для удаления сточных 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