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Устройство для введения контрастного вещества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tatevikkhalatyan@gmail.com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077-74-60-11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ԳԲԿ-ԷԱՃԱՊՁԲ-24/11</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Устройство для введения контрастного вещества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Устройство для введения контрастного вещества</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tatevikkhalatyan@gmail.com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Устройство для введения контрастного вещества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введения контрастного вещества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429.38</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введения контрастного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Предлагаемое устройство должно быть предназначено исключительно для введения контрастных и физиологических растворов пациентам с целью проведения исследований с использованием компьютерной томографии и рентгеновской маммографии.
Не менее 80 профилей, каждый профиль должен состоять из 6 индивидуально программируемых ступеней впрыска.
Устройство должно быть оснащено двумя приводами впрыска, управляемыми независимо друг от друга.
Скорость каждого блока не менее 0,1 мл/с - 10 мл/с с шагом 0,1 мл/с.
Закачанные объемы:
Контрастный материал: 200 мл.
Физиологический раствор: 200 мл.
Выбираемый фракционный объем от не менее 1 мл/с до 200 мл/с с шагом 1 мл/с.
Давление впрыска: не менее 5 - 21 бар, 1 бар/кв.м. с шагом в дюйм
Скорость наполнения от не менее 1 мл/с - 5 мл/с с шагом 1 мл/с.
Скорость потока на холостом ходу не менее 1 мл/с - 10 мл/с с шагом 1 мл/с.
Точность: Объем: ± (1% + 1 мл), Скорость: ± (1% + 0,1 мл/с), Время: ± (1% + 0,1 с), Давление: ± (5% + 1 бар).
Наличие аккумулятора
Наличие сенсорного экрана
Наличие роликов для передвижения
Инжектор должен соответствовать требованиям стандарта DIN EN 60601-1-2 для медицинских изделий по параметрам излучения помех и устойчивости к сетевым помехам, особенно с возможностью синхронизации с Siemens 9018.
Электропитание: 220В/50Гц, Мощность не более 180Вт.
Комплектация: портативный шприц с вращающимся инъекционным блоком, ручка шприца с подогревом, сенсорный экран, шнур питания, панель управления, инструкция на русском/английском языках.
Наличие сертификатов качества: ISO, CE Mark.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от 20 календарных дней, но не позднее 50 календарных дней/если поставщик не согласен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введения контрастного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