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ՍՄԳԲԿ-ԷԱՃԱՊՁԲ-24/7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ՍՄԳԲԿ-ԷԱՃԱՊՁԲ-24/7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ՍՄԳԲԿ-ԷԱՃԱՊՁԲ-24/7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ԳՈՐԻՍԻ ԲԺՇԿԱԿԱՆ ԿԵՆՏՐՈՆ ՓԲԸ ԿԱՐԻՔՆԵՐԻ ՀԱՄԱՐ ՎԱՌԵԼԻՔԻ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մատակարարը պետք է Գորիս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2024թ. ընթացքում, առաջին փուլի մատակարարման ժամկետը  կողմերի միջև պայմանագիր կնքելու օրվանից հաշված 20  օրացուցային օրից /եթե մատակարարը չի համաձայնվում մատակարարել ավելի շուտ/, իսկ յուրաքանչյուր անգամ պատվիրատուից պատվեր ստանալուց հինգ աշխատանքային օրվա ընթացքում՝ Պատվիրատուի կողմից պատվիրված քանակին և տեսակին համապատասխան Մինչև 2024թվականի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