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топливо  IV четверть  24/5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ՄՏԲԿ-ԷԱՃԱՊՁԲ-24/5</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топливо  IV четверть  24/5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топливо  IV четверть  24/5</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топливо  IV четверть  24/5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Нечетное число определяется методом исследования, не менее 91. Не менее 81 автомобиля. Содержание свинца не превышает 5 мг / дм3. Плотность при температуре 15 0 С составляет 720-775 кг / м 3. Содержание серы не более 10 мг / кг. Объемная доля углеводов не более ароматических - 21%, олефинов - 21%, углекислого газа - не более 1%. Массовая доля кислорода - не более 2,7%. Содержание щавелевой кислоты в оксидах - 3%, этаноле - 5%, изопропиловом спирте - 10%, изобутиловом спирте - 10%, триабутиловом спирте - 7%, эфире (C5 и выше) - 15%, других оксидах - , Безопасность, маркировка и упаковка утвержденный Решением N 1592-N от Правительства РА  11 ноября  2004 года. «Технический регламент на топливо для двигателей внутреннего сгорания», Поставка, купон. Купоны должны быть новыми, неиспользованными.Купоны должны быть новыми, неиспользованными.Талоны поставщика на бензин необходимо погашать на заправочных станциях, расположенных во всех городах республики.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Tовар доставляется поставщиком  по одресу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