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և կենցաղային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և կենցաղային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և կենցաղային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և կենցաղային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Երևանի քաղաքապետրանի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LCD հեռուստացույց, Անկյունագիծն առնվազն՝ 49,5" (126 սմ), Էկրանի ձևաչափը՝ 16:9, Թույլտվությունն առնվազն՝ 3840x2160, HD թույլտվություն՝ 4K UHD, HDR, HDR ձևաչափ՝ HDR10, HDR10+, Ստերեո ձայնի և հեռուստատեքստի (телетекст) առկայությամբ: Ձայնի հզորությունն առնվազն՝ 20 Վտ (2x10 Վտ), Ակուստիկ համակարգի առնվազն երկու բարձրախոսով, Մուտքեր՝ HDMI x3, USB, Ethernet (RJ-45), Wi-Fi, Ելքեր՝ օպտիկական, Առջևի/կողային միակցիչներ՝ HDMI, USB:  Տիպային էներգիայի սպառումը ոչ ավել` 87 Վտ, Մաքս. էներգիայի սպառումը ոչ ավել` 140 Վտ: Չափերը տակդիրով (ԼxԲxԽ)՝ 1117x719x250 մմ (+/-10%), Չափերն առանց տակդիրի (ԼxԲxԽ)՝ 1117x644x80 մմ (+/-10%), պատին ամրացնելու հնարավորության առկայություն: Գործարանային պիտակավորված փաթեթավորմամբ, ֆիրմային նշանի առկայությամբ, մատակարարման ժամանակ տրվում է երաշխիք՝ առնվազն 24 ամիս։Ապրանքի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1հատ,DVI-D1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 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Համապատասխան համակարգչային մկնիկ և ստեղնաշար։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 առնվազն՝ 50-60 մ² սառը և տաք աշխատանքային ռեժիմներով: Մաքս. հովացման հզորությունը՝ 5000-5200Վտ: Մաքս. ջեռուցման հզորությունը՝ 5200-5400Վտ:
Սառեցման ծախսը՝ ոչ ավել 1580-1640 Վտ, Ջեռուցման ծախսը՝ ոչ ավել 1500-1600 Վտ, Սառնագենտ` R410A,  Կապի մաքսիմալ հեռավորություն՝ 3-4 մ, Լարումը` 220-240 Վ,  Հոսանք՝ 4-5 Ա, Գույնը՝ համաձանեցնել: Ավտոմատ վերագործարկման, կափյուրի շարունակական շարժման, թվային էկրանի, ջերմաստիճանի կարգավորման ճշգրտության (1,0 °C), գիշերային ռեժիմի, ավտոմատ ռեժիմի, սխալների ինքնաախտորոշման համակարգի, փոշուց և խոնավությունից պաշտպանվելու դասի (IPX4) առկայություն։ Լրակազմը ներառում է նաև ամրացման համար նախատեսված էլեմենտներ, կառավարման վահանակ, օդի զտիչներ` (բարձր խտության նախաֆիլտր):
Արտաքին բլոկի աղմուկի մակարդակը՝ ոչ ավել40-45 դԲ, Չափերը (ԲxԼxԽ), 58x90x33 սմ (+/-10% ): Ներքին բլոկի աղմուկի մակարդակը՝ ոչ ավել 35 դԲ, Չափերը (ԲxԼxԽ)՝ 31x95x21 սմ (+/-5% ):
Գործարանային պիտակավորված փաթեթավորմամբ, ֆիրմային նշանի առկայությամբ, մատակարարման ժամանակ տրվում է երաշխիք՝ առնվազն 36 ամիս։Ապրանքի մատակարարումը մինչև տեղադրման վայր ք. Երևան՝ ըստ պատվիրատուի նշած հասցեի, կատարում է Վաճառողը։ Ապրանքը պետք է լինի փաթեթավորված, մաքուր, առանց փոշու և առանց վնասավծքների: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22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22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22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