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ՄԱՐՏՈՒՆՈՒ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Հայաստանի Հանրապետություն, Գեղարքունիքի մարզ</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и лабораторных материалов для нужд Мартунинского роддома в 2024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Հակոբ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sirarpih@mail.ru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+37494211395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ՄԱՐՏՈՒՆՈՒ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ՄԾՊՓԲԸ-ԷԱՃԱՊՁԲ-24/02</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ՄԱՐՏՈՒՆՈՒ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ՄԱՐՏՈՒՆՈՒ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и лабораторных материалов для нужд Мартунинского роддома в 2024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и лабораторных материалов для нужд Мартунинского роддома в 2024 году.</w:t>
      </w:r>
      <w:r>
        <w:rPr>
          <w:rFonts w:ascii="Calibri" w:hAnsi="Calibri" w:cstheme="minorHAnsi"/>
          <w:b/>
          <w:lang w:val="ru-RU"/>
        </w:rPr>
        <w:t xml:space="preserve">ДЛЯ НУЖД  </w:t>
      </w:r>
      <w:r>
        <w:rPr>
          <w:rFonts w:ascii="Calibri" w:hAnsi="Calibri" w:cstheme="minorHAnsi"/>
          <w:b/>
          <w:sz w:val="24"/>
          <w:szCs w:val="24"/>
          <w:lang w:val="af-ZA"/>
        </w:rPr>
        <w:t>ՄԱՐՏՈՒՆՈՒ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ՄԾՊՓԲԸ-ԷԱՃԱՊՁԲ-24/02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sirarpih@mail.ru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и лабораторных материалов для нужд Мартунинского роддома в 2024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ՄԾՊՓԲԸ-ԷԱՃԱՊՁԲ-24/02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ՄԱՐՏՈՒՆՈՒ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"ՄԾՊՓԲԸ-ԷԱՃԱՊՁԲ-24/02"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ՄԾՊՓԲԸ-ԷԱՃԱՊՁԲ-24/02*.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"ՄԾՊՓԲԸ-ԷԱՃԱՊՁԲ-24/02"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ՄԾՊՓԲԸ-ԷԱՃԱՊՁԲ-24/02*.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ՄԾՊՓԲԸ-ԷԱՃԱՊՁԲ-24/02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анализатор cobas c111 для , Формат: 1000 мл . В фирму знака доступность Хранилище: условия в комнату степень тепло . Доставлять в данный момент пригодность Наличие 2/3 срока , Для In Vitro Диагноз: только: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/МУЛТИКАЛИБРАТОР/, Формат: 1 мл. Используется в качестве калибратора для исследований протромбинового времени и фибриногена. Наличие торговой марки. Условия хранения: при 2-8°С. Международные сертификаты контроля качества, выданные производителем: ISO 9001,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Оранжевый -6
Материал для окраски образцов. Срок годности 1 год на момент поставки. Материал должен быть готов без дополнительной подготовки перед использованием. Должно содержать этанола не более 80%, метанола не более 5%, изопропанола не более 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Срок годности образцов лакокрасочных материалов на момент поставки составляет 1 год. Материал должен быть готов без дополнительной подготовки перед использованием. Должно содержать этанола не более 60%, метанола не более 30%, изопропанола не более 5%, уксусной кислоты не более 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HARRIS’ HEMATOXYLIN
Гематоксилин Харриса — темно-красная жидкость, растворимая в воде. Срок годности 1 год на момент поставки. Материал должен быть готов без дополнительной подготовки перед использованием. Должен содержать этанол – не более 10%.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Циталогический фиксатор для фиксации мази шеи матки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прозрачный.
растворимость в воде
нерастворимый, но растворимый
эфир, кетоны,
ароматный
в углеводородах и D:
в лимонене.
Показатель преломления равен 1,5.
Динамическая вязкость
250-450 мПа*с,+20C
степень,
плотность 0,945/мл при +25С
в случае степени.
Вакцина долговечна
свет, тепло,
влажность и УФ
лучей
к влиянию.
Содержание
акриловые смолы
смесь в ксилоле.
Упаковка: 500мл,
полиэтиленовые растворы
Прочная бутылочка,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Концентрический азотистый кислый проверяемый образец Американский формат: 1000 мл.                    Доставка: в данный момент действительности период наличие ( см. знакомство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белая жидкость для распыления с резким запахом. формат: 1000 мл наличие срока годности при сдаче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Имерсионное масло: бесцветная, прозрачная, вязкая жидкость. формат: 100 мл флакон / шт. новый, неиспользованный. наличие 1/2 срока годности при сдаче.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для анализатора STart Max. Формат: маржа 100.  Международные сертификаты контроля качества, выданные производителем,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тиопентала натрия 0,5 порошка для инъекций.
Наличие 2/3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раствор для в/в введ 24 мг/мл 10 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Антипригарная сыворотка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Антиприлипающий анатоксин 1мл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Закупку планируется осуществить в течение 2024 года, в том числе до 25 декабря. Указанный объем каждого вида продукции является максимальным, он может быть уменьшен Покупателем с учетом фактического количества пациентов в течение года.                 Поставку товара осуществляет Поставщик.  в. Мартуни Нарекаци 2, адрес. Все ссылки на технические спецификации следует понимать в соответствии со статьей 12, частью 5 Закона РА «О закупках» или равноценной 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