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90" w:type="dxa"/>
        <w:tblInd w:w="-810" w:type="dxa"/>
        <w:tblLook w:val="04A0" w:firstRow="1" w:lastRow="0" w:firstColumn="1" w:lastColumn="0" w:noHBand="0" w:noVBand="1"/>
      </w:tblPr>
      <w:tblGrid>
        <w:gridCol w:w="1039"/>
        <w:gridCol w:w="1472"/>
        <w:gridCol w:w="2180"/>
        <w:gridCol w:w="3409"/>
        <w:gridCol w:w="1049"/>
        <w:gridCol w:w="658"/>
        <w:gridCol w:w="1228"/>
        <w:gridCol w:w="1924"/>
        <w:gridCol w:w="1227"/>
        <w:gridCol w:w="2104"/>
      </w:tblGrid>
      <w:tr w:rsidR="00263EB4" w:rsidRPr="002C06C7" w:rsidTr="00501AA4">
        <w:trPr>
          <w:trHeight w:val="300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63EB4" w:rsidRPr="002C06C7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52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</w:pPr>
            <w:r w:rsidRPr="002C06C7"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>ՏԵԽՆԻԿԱԿԱՆ ԲՆՈՒԹԱԳԻՐ - ԳՆՄԱՆ ԺԱՄԱՆԱԿԱՑՈՒՅՑ</w:t>
            </w:r>
          </w:p>
          <w:p w:rsidR="00263EB4" w:rsidRPr="006855D9" w:rsidRDefault="008830F3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  <w:t>ՍՄԿԲԿ-ԷԱՃԱՊՁԲ-24/12</w:t>
            </w:r>
            <w:bookmarkStart w:id="0" w:name="_GoBack"/>
            <w:bookmarkEnd w:id="0"/>
          </w:p>
        </w:tc>
      </w:tr>
      <w:tr w:rsidR="006855D9" w:rsidRPr="002C06C7" w:rsidTr="00501AA4">
        <w:trPr>
          <w:trHeight w:val="315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B4" w:rsidRPr="002C06C7" w:rsidRDefault="00263EB4" w:rsidP="00763B4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 w:eastAsia="ru-RU"/>
              </w:rPr>
            </w:pPr>
          </w:p>
        </w:tc>
      </w:tr>
      <w:tr w:rsidR="006855D9" w:rsidRPr="006855D9" w:rsidTr="00501AA4">
        <w:trPr>
          <w:trHeight w:val="300"/>
        </w:trPr>
        <w:tc>
          <w:tcPr>
            <w:tcW w:w="162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5D9" w:rsidRPr="006855D9" w:rsidRDefault="006855D9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Ապրանքի</w:t>
            </w:r>
            <w:proofErr w:type="spellEnd"/>
          </w:p>
        </w:tc>
      </w:tr>
      <w:tr w:rsidR="006855D9" w:rsidRPr="006855D9" w:rsidTr="00501AA4">
        <w:trPr>
          <w:trHeight w:val="300"/>
        </w:trPr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հրավերով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նախատեսված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չափաբաժնի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համարը</w:t>
            </w:r>
            <w:proofErr w:type="spellEnd"/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գնումների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պլանով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նախատեսված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միջանցիկ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ծածկագիրը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`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ըստ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ԳՄԱ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>դասակարգման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12"/>
                <w:szCs w:val="20"/>
                <w:lang w:eastAsia="ru-RU"/>
              </w:rPr>
              <w:t xml:space="preserve"> (CPV)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6D04B3">
            <w:pPr>
              <w:spacing w:after="0" w:line="240" w:lineRule="auto"/>
              <w:ind w:right="15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անվանումը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տեխնիկական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բնութագիրը</w:t>
            </w:r>
            <w:proofErr w:type="spellEnd"/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չափման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միավորը</w:t>
            </w:r>
            <w:proofErr w:type="spellEnd"/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EB4" w:rsidRPr="00501AA4" w:rsidRDefault="00501AA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  <w:t>մ/գ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ընդհանուր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քանակը</w:t>
            </w:r>
            <w:proofErr w:type="spellEnd"/>
          </w:p>
        </w:tc>
        <w:tc>
          <w:tcPr>
            <w:tcW w:w="52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մատակարարման</w:t>
            </w:r>
            <w:proofErr w:type="spellEnd"/>
          </w:p>
        </w:tc>
      </w:tr>
      <w:tr w:rsidR="00A96807" w:rsidRPr="006855D9" w:rsidTr="00501AA4">
        <w:trPr>
          <w:trHeight w:val="502"/>
        </w:trPr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հասցեն</w:t>
            </w:r>
            <w:proofErr w:type="spellEnd"/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ենթակա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քանակը</w:t>
            </w:r>
            <w:proofErr w:type="spellEnd"/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B4" w:rsidRPr="006855D9" w:rsidRDefault="00263EB4" w:rsidP="00763B4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Ժամկետը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***</w:t>
            </w:r>
          </w:p>
        </w:tc>
      </w:tr>
      <w:tr w:rsidR="006855D9" w:rsidRPr="006855D9" w:rsidTr="00501AA4">
        <w:trPr>
          <w:trHeight w:val="166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B05C17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05C17">
              <w:rPr>
                <w:rFonts w:ascii="GHEA Grapalat" w:hAnsi="GHEA Grapalat" w:cs="Calibri"/>
                <w:color w:val="000000"/>
                <w:sz w:val="20"/>
                <w:szCs w:val="20"/>
              </w:rPr>
              <w:t>33651125/1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ազիթրոմիցին</w:t>
            </w:r>
            <w:proofErr w:type="spellEnd"/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ազիթրոմիցին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ազիթրոմիցին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մոնոհիդրատ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) 250մգ;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EB4" w:rsidRPr="006855D9" w:rsidRDefault="00263EB4" w:rsidP="00263EB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Մատակարարումն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իրականացվում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մատակարարի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կողմից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` ՀՀ,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Սյունիքի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մարզ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ք.Կապան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Մ.Ստեփանյան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13  «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Կապանի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բժշկական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կենտրոն»ՓԲԸ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-ի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հասցեով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EB4" w:rsidRPr="006855D9" w:rsidRDefault="00263EB4" w:rsidP="00263EB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Համաձայն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պատվերի</w:t>
            </w:r>
            <w:proofErr w:type="spellEnd"/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EB4" w:rsidRPr="006855D9" w:rsidRDefault="00263EB4" w:rsidP="00263EB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Ապրանքը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կմատակարարվի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2024թ-ին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պայմանագրի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կնքման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օրվանից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մինչև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30</w:t>
            </w:r>
            <w:r w:rsidRPr="006855D9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6855D9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թ</w:t>
            </w:r>
            <w:r w:rsidRPr="006855D9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eastAsia="ru-RU"/>
              </w:rPr>
              <w:t>․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ընդ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որում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պայմանագիրը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կնքելու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GHEA Grapalat"/>
                <w:b/>
                <w:bCs/>
                <w:color w:val="000000"/>
                <w:sz w:val="20"/>
                <w:szCs w:val="20"/>
                <w:lang w:eastAsia="ru-RU"/>
              </w:rPr>
              <w:t>օրվանից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հաշված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20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օրացուցային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օր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հետո՝1-ին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փուլի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եթե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մատակարարը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չի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համաձայնվում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մատակարարել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ավելի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շուտ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/, 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մյուս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փուլերի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դեպքում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յուրաքանչյուր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անգամ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Պատվիրատուից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պատվերը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ստանալուց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հետո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աշխատանքային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օրվա</w:t>
            </w:r>
            <w:proofErr w:type="spellEnd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ընթացում</w:t>
            </w:r>
            <w:proofErr w:type="spellEnd"/>
          </w:p>
        </w:tc>
      </w:tr>
      <w:tr w:rsidR="006855D9" w:rsidRPr="006855D9" w:rsidTr="00501AA4">
        <w:trPr>
          <w:trHeight w:val="7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48642B" w:rsidRDefault="00B05C17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B05C17">
              <w:rPr>
                <w:rFonts w:ascii="GHEA Grapalat" w:hAnsi="GHEA Grapalat" w:cs="Calibri"/>
                <w:sz w:val="20"/>
                <w:szCs w:val="20"/>
              </w:rPr>
              <w:t>33651125/2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ազիթրոմիցին</w:t>
            </w:r>
            <w:proofErr w:type="spellEnd"/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ազիթրոմիցին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ազիթրոմիցին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մոնոհիդրատ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) 500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թաղանթապատ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55D9" w:rsidRPr="006855D9" w:rsidTr="00501AA4">
        <w:trPr>
          <w:trHeight w:val="7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F7419D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33691500/1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A96807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Տ</w:t>
            </w:r>
            <w:r w:rsidR="00263EB4" w:rsidRPr="006855D9">
              <w:rPr>
                <w:rFonts w:ascii="GHEA Grapalat" w:hAnsi="GHEA Grapalat" w:cs="Calibri"/>
                <w:sz w:val="20"/>
                <w:szCs w:val="20"/>
              </w:rPr>
              <w:t>րանեքսամաթթու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  <w:lang w:val="hy-AM"/>
              </w:rPr>
              <w:t>*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501AA4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01AA4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տրանեքսամաթթու 50մգ/մլ;  ամպուլներ 5մլ; լուծույթ ն/ե կաթիլաներարկման*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501AA4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55D9" w:rsidRPr="006855D9" w:rsidTr="00501AA4">
        <w:trPr>
          <w:trHeight w:val="70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F7419D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33691144/1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թիոսուլֆատ</w:t>
            </w:r>
            <w:proofErr w:type="spellEnd"/>
            <w:r w:rsidR="00A96807" w:rsidRPr="006855D9">
              <w:rPr>
                <w:rFonts w:ascii="GHEA Grapalat" w:hAnsi="GHEA Grapalat" w:cs="Calibri"/>
                <w:sz w:val="20"/>
                <w:szCs w:val="20"/>
                <w:lang w:val="hy-AM"/>
              </w:rPr>
              <w:t>*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501AA4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01AA4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նատրիումի թիոսուլֆատ,լուծույթ ներարկման,300մգ/մլ; ամպուլներ 5մլ*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501AA4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55D9" w:rsidRPr="006855D9" w:rsidTr="00501AA4">
        <w:trPr>
          <w:trHeight w:val="778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F7419D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33621380/2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A96807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Դ</w:t>
            </w:r>
            <w:r w:rsidR="00263EB4" w:rsidRPr="006855D9">
              <w:rPr>
                <w:rFonts w:ascii="GHEA Grapalat" w:hAnsi="GHEA Grapalat" w:cs="Calibri"/>
                <w:sz w:val="20"/>
                <w:szCs w:val="20"/>
              </w:rPr>
              <w:t>իգօքսին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  <w:lang w:val="hy-AM"/>
              </w:rPr>
              <w:t>*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դիգօքսին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0.025%  1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sz w:val="20"/>
                <w:szCs w:val="20"/>
              </w:rPr>
              <w:t>ամպուլա</w:t>
            </w:r>
            <w:proofErr w:type="spellEnd"/>
            <w:r w:rsidRPr="006855D9">
              <w:rPr>
                <w:rFonts w:ascii="GHEA Grapalat" w:hAnsi="GHEA Grapalat" w:cs="Calibri"/>
                <w:sz w:val="20"/>
                <w:szCs w:val="20"/>
              </w:rPr>
              <w:t>*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55D9" w:rsidRPr="006855D9" w:rsidTr="00501AA4">
        <w:trPr>
          <w:trHeight w:val="141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F7419D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33661183/1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333333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ցիսատրակուրիում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ցիսատրակուրիում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բեզիլատ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 w:cs="Calibri"/>
                <w:color w:val="333333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ցիսատրակուրիում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ցիսատրակուրիում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բեզիլատ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) 2մգ/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մլ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; (5)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ապակե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սրվակներ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2.5մլ,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լուծույթ</w:t>
            </w:r>
            <w:proofErr w:type="spellEnd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 xml:space="preserve"> ն/ե </w:t>
            </w:r>
            <w:proofErr w:type="spellStart"/>
            <w:r w:rsidRPr="006855D9">
              <w:rPr>
                <w:rFonts w:ascii="GHEA Grapalat" w:hAnsi="GHEA Grapalat" w:cs="Calibri"/>
                <w:color w:val="333333"/>
                <w:sz w:val="20"/>
                <w:szCs w:val="20"/>
              </w:rPr>
              <w:t>ներարկման</w:t>
            </w:r>
            <w:proofErr w:type="spell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263EB4" w:rsidP="00501A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501AA4" w:rsidRDefault="00F7419D" w:rsidP="00501AA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EB4" w:rsidRPr="006855D9" w:rsidRDefault="00501AA4" w:rsidP="00501AA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EB4" w:rsidRPr="006855D9" w:rsidRDefault="00263EB4" w:rsidP="00263EB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D3DDA" w:rsidRPr="006855D9" w:rsidRDefault="00FD3DDA">
      <w:pPr>
        <w:rPr>
          <w:rFonts w:ascii="GHEA Grapalat" w:hAnsi="GHEA Grapalat"/>
          <w:sz w:val="20"/>
          <w:szCs w:val="20"/>
        </w:rPr>
      </w:pPr>
    </w:p>
    <w:p w:rsidR="00A751CB" w:rsidRPr="006855D9" w:rsidRDefault="00A96807" w:rsidP="00A96807">
      <w:pPr>
        <w:pStyle w:val="a6"/>
        <w:numPr>
          <w:ilvl w:val="0"/>
          <w:numId w:val="4"/>
        </w:numPr>
        <w:tabs>
          <w:tab w:val="left" w:pos="630"/>
        </w:tabs>
        <w:spacing w:line="276" w:lineRule="auto"/>
        <w:ind w:left="0" w:firstLine="0"/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</w:pPr>
      <w:r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 xml:space="preserve">* </w:t>
      </w:r>
      <w:r w:rsidR="00A751CB"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>№</w:t>
      </w:r>
      <w:r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 xml:space="preserve"> 3; 4 և 5</w:t>
      </w:r>
      <w:r w:rsidR="00A751CB"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 xml:space="preserve"> </w:t>
      </w:r>
      <w:r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>չափաբաժինների</w:t>
      </w:r>
      <w:r w:rsidR="00A751CB" w:rsidRPr="006855D9">
        <w:rPr>
          <w:rFonts w:ascii="GHEA Grapalat" w:hAnsi="GHEA Grapalat"/>
          <w:b/>
          <w:color w:val="FF0000"/>
          <w:sz w:val="20"/>
          <w:szCs w:val="20"/>
          <w:highlight w:val="cyan"/>
          <w:lang w:val="hy-AM"/>
        </w:rPr>
        <w:t xml:space="preserve"> համար </w:t>
      </w:r>
      <w:r w:rsidR="00A751CB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 xml:space="preserve"> կարող են ներկայացվել նաև չգրանցված դեղեր</w:t>
      </w:r>
      <w:r w:rsidR="00D232DA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 xml:space="preserve"> </w:t>
      </w:r>
      <w:r w:rsidR="00A751CB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 xml:space="preserve"> համաձայն ՀՀ Կառավարության  02</w:t>
      </w:r>
      <w:r w:rsidR="00A751CB" w:rsidRPr="006855D9">
        <w:rPr>
          <w:rFonts w:ascii="Cambria Math" w:hAnsi="Cambria Math" w:cs="Cambria Math"/>
          <w:b/>
          <w:color w:val="FF0000"/>
          <w:sz w:val="20"/>
          <w:szCs w:val="20"/>
          <w:highlight w:val="cyan"/>
          <w:lang w:val="hy-AM" w:eastAsia="ru-RU"/>
        </w:rPr>
        <w:t>․</w:t>
      </w:r>
      <w:r w:rsidR="00A751CB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>05</w:t>
      </w:r>
      <w:r w:rsidR="00A751CB" w:rsidRPr="006855D9">
        <w:rPr>
          <w:rFonts w:ascii="Cambria Math" w:hAnsi="Cambria Math" w:cs="Cambria Math"/>
          <w:b/>
          <w:color w:val="FF0000"/>
          <w:sz w:val="20"/>
          <w:szCs w:val="20"/>
          <w:highlight w:val="cyan"/>
          <w:lang w:val="hy-AM" w:eastAsia="ru-RU"/>
        </w:rPr>
        <w:t>․</w:t>
      </w:r>
      <w:r w:rsidR="00A751CB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>2013թ</w:t>
      </w:r>
      <w:r w:rsidR="00A751CB" w:rsidRPr="006855D9">
        <w:rPr>
          <w:rFonts w:ascii="Cambria Math" w:hAnsi="Cambria Math" w:cs="Cambria Math"/>
          <w:b/>
          <w:color w:val="FF0000"/>
          <w:sz w:val="20"/>
          <w:szCs w:val="20"/>
          <w:highlight w:val="cyan"/>
          <w:lang w:val="hy-AM" w:eastAsia="ru-RU"/>
        </w:rPr>
        <w:t>․</w:t>
      </w:r>
      <w:r w:rsidR="00A751CB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 xml:space="preserve"> № 502-Ն որոշման </w:t>
      </w:r>
      <w:r w:rsidR="00D232DA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>Հավելվածի 2</w:t>
      </w:r>
      <w:r w:rsidR="00D232DA" w:rsidRPr="006855D9">
        <w:rPr>
          <w:rFonts w:ascii="Cambria Math" w:hAnsi="Cambria Math" w:cs="Cambria Math"/>
          <w:b/>
          <w:color w:val="FF0000"/>
          <w:sz w:val="20"/>
          <w:szCs w:val="20"/>
          <w:highlight w:val="cyan"/>
          <w:lang w:val="hy-AM" w:eastAsia="ru-RU"/>
        </w:rPr>
        <w:t>․</w:t>
      </w:r>
      <w:r w:rsidR="00D232DA" w:rsidRPr="006855D9">
        <w:rPr>
          <w:rFonts w:ascii="GHEA Grapalat" w:hAnsi="GHEA Grapalat" w:cs="Calibri"/>
          <w:b/>
          <w:color w:val="FF0000"/>
          <w:sz w:val="20"/>
          <w:szCs w:val="20"/>
          <w:highlight w:val="cyan"/>
          <w:lang w:val="hy-AM" w:eastAsia="ru-RU"/>
        </w:rPr>
        <w:t>3 կետի պայմանների (ներմուծման հավաստագրի առկայության դեպքում)։</w:t>
      </w:r>
    </w:p>
    <w:p w:rsidR="006D04B3" w:rsidRPr="006855D9" w:rsidRDefault="00A751CB" w:rsidP="00A96807">
      <w:pPr>
        <w:pStyle w:val="a6"/>
        <w:numPr>
          <w:ilvl w:val="0"/>
          <w:numId w:val="4"/>
        </w:numPr>
        <w:spacing w:line="276" w:lineRule="auto"/>
        <w:ind w:left="0" w:firstLine="0"/>
        <w:rPr>
          <w:rFonts w:ascii="GHEA Grapalat" w:hAnsi="GHEA Grapalat" w:cs="Calibri"/>
          <w:b/>
          <w:color w:val="FF0000"/>
          <w:sz w:val="20"/>
          <w:szCs w:val="20"/>
          <w:lang w:val="hy-AM" w:eastAsia="ru-RU"/>
        </w:rPr>
      </w:pPr>
      <w:r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lastRenderedPageBreak/>
        <w:t xml:space="preserve">№ </w:t>
      </w:r>
      <w:r w:rsidR="00A96807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1</w:t>
      </w:r>
      <w:r w:rsidR="00D232DA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;</w:t>
      </w:r>
      <w:r w:rsidR="00A96807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 2</w:t>
      </w:r>
      <w:r w:rsidR="00D232DA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 և </w:t>
      </w:r>
      <w:r w:rsidR="00A96807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6</w:t>
      </w:r>
      <w:r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 չափաբաժնի համար ա</w:t>
      </w:r>
      <w:r w:rsidR="00586D55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ռաջարկվող դ</w:t>
      </w:r>
      <w:r w:rsidR="006D04B3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եղերը </w:t>
      </w:r>
      <w:r w:rsidR="00586D55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 պետք է </w:t>
      </w:r>
      <w:r w:rsidR="006D04B3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ներառված</w:t>
      </w:r>
      <w:r w:rsidR="00586D55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 xml:space="preserve"> լինել </w:t>
      </w:r>
      <w:r w:rsidR="006D04B3" w:rsidRPr="006855D9">
        <w:rPr>
          <w:rFonts w:ascii="GHEA Grapalat" w:hAnsi="GHEA Grapalat" w:cs="Calibri"/>
          <w:b/>
          <w:color w:val="FF0000"/>
          <w:sz w:val="20"/>
          <w:szCs w:val="20"/>
          <w:highlight w:val="yellow"/>
          <w:lang w:val="hy-AM" w:eastAsia="ru-RU"/>
        </w:rPr>
        <w:t>ՀՀ-ում գրանցված դեղերի պետական գրանցամատյանում (ռեեստր)  (ներկյացնել միայն գրանցված դեղեր)։</w:t>
      </w:r>
    </w:p>
    <w:p w:rsidR="006D04B3" w:rsidRPr="006855D9" w:rsidRDefault="00A96807" w:rsidP="006D04B3">
      <w:pPr>
        <w:rPr>
          <w:rFonts w:ascii="GHEA Grapalat" w:hAnsi="GHEA Grapalat"/>
          <w:sz w:val="20"/>
          <w:szCs w:val="20"/>
          <w:lang w:val="hy-AM"/>
        </w:rPr>
      </w:pPr>
      <w:r w:rsidRPr="006855D9">
        <w:rPr>
          <w:rFonts w:ascii="GHEA Grapalat" w:hAnsi="GHEA Grapalat"/>
          <w:sz w:val="20"/>
          <w:szCs w:val="20"/>
          <w:lang w:val="hy-AM"/>
        </w:rPr>
        <w:t>*</w:t>
      </w:r>
      <w:r w:rsidR="006D04B3" w:rsidRPr="006855D9">
        <w:rPr>
          <w:rFonts w:ascii="GHEA Grapalat" w:hAnsi="GHEA Grapalat"/>
          <w:sz w:val="20"/>
          <w:szCs w:val="20"/>
          <w:lang w:val="hy-AM"/>
        </w:rPr>
        <w:t xml:space="preserve"> 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համարվում է լուծված: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  <w:lang w:val="hy-AM"/>
        </w:rPr>
      </w:pPr>
      <w:r w:rsidRPr="006855D9">
        <w:rPr>
          <w:rFonts w:ascii="GHEA Grapalat" w:hAnsi="GHEA Grapalat"/>
          <w:sz w:val="20"/>
          <w:szCs w:val="20"/>
          <w:lang w:val="hy-AM"/>
        </w:rPr>
        <w:t xml:space="preserve"> *Առաջին տեղ զբաղեցրած մասնակիցը պետք է ներկայացնի նաև առաջարկվող ապրանքային նշանի, արտադրողի(արտադրող կազմակերպության անվանումը), ծագման երկրի վերաբերյալ տեղեկատվություն: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  <w:lang w:val="hy-AM"/>
        </w:rPr>
      </w:pPr>
      <w:r w:rsidRPr="006855D9">
        <w:rPr>
          <w:rFonts w:ascii="GHEA Grapalat" w:hAnsi="GHEA Grapalat"/>
          <w:sz w:val="20"/>
          <w:szCs w:val="20"/>
          <w:lang w:val="hy-AM"/>
        </w:rPr>
        <w:t xml:space="preserve">*Բոլոր չափաբաժինների համար պարտադիր է ապրանքային նշանի և արտադրողի վերաբերյալ տեղեկատվություն (արտադրող կազմակերպության անվանումը): 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  <w:lang w:val="hy-AM"/>
        </w:rPr>
      </w:pPr>
      <w:r w:rsidRPr="006855D9">
        <w:rPr>
          <w:rFonts w:ascii="GHEA Grapalat" w:hAnsi="GHEA Grapalat"/>
          <w:sz w:val="20"/>
          <w:szCs w:val="20"/>
          <w:lang w:val="hy-AM"/>
        </w:rPr>
        <w:t xml:space="preserve">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  <w:lang w:val="hy-AM"/>
        </w:rPr>
      </w:pPr>
      <w:r w:rsidRPr="006855D9">
        <w:rPr>
          <w:rFonts w:ascii="GHEA Grapalat" w:hAnsi="GHEA Grapalat"/>
          <w:sz w:val="20"/>
          <w:szCs w:val="20"/>
          <w:lang w:val="hy-AM"/>
        </w:rPr>
        <w:t>*Ապրանքները կմատակարարվեն 2024թ-ին պայմանագրի ուժի մեջ մտնելու օրվանից մինչև 30</w:t>
      </w:r>
      <w:r w:rsidRPr="006855D9">
        <w:rPr>
          <w:rFonts w:ascii="Cambria Math" w:hAnsi="Cambria Math" w:cs="Cambria Math"/>
          <w:sz w:val="20"/>
          <w:szCs w:val="20"/>
          <w:lang w:val="hy-AM"/>
        </w:rPr>
        <w:t>․</w:t>
      </w:r>
      <w:r w:rsidRPr="006855D9">
        <w:rPr>
          <w:rFonts w:ascii="GHEA Grapalat" w:hAnsi="GHEA Grapalat"/>
          <w:sz w:val="20"/>
          <w:szCs w:val="20"/>
          <w:lang w:val="hy-AM"/>
        </w:rPr>
        <w:t>12</w:t>
      </w:r>
      <w:r w:rsidRPr="006855D9">
        <w:rPr>
          <w:rFonts w:ascii="Cambria Math" w:hAnsi="Cambria Math" w:cs="Cambria Math"/>
          <w:sz w:val="20"/>
          <w:szCs w:val="20"/>
          <w:lang w:val="hy-AM"/>
        </w:rPr>
        <w:t>․</w:t>
      </w:r>
      <w:r w:rsidRPr="006855D9">
        <w:rPr>
          <w:rFonts w:ascii="GHEA Grapalat" w:hAnsi="GHEA Grapalat"/>
          <w:sz w:val="20"/>
          <w:szCs w:val="20"/>
          <w:lang w:val="hy-AM"/>
        </w:rPr>
        <w:t>2024թ,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  <w:lang w:val="hy-AM"/>
        </w:rPr>
        <w:t>*Մատակարարումն իրականացվում է մատակարարի կողմից`ՀՀ, Սյունիքի մարզ, ք.Կապան, Մ</w:t>
      </w:r>
      <w:r w:rsidRPr="006855D9">
        <w:rPr>
          <w:rFonts w:ascii="Cambria Math" w:hAnsi="Cambria Math" w:cs="Cambria Math"/>
          <w:sz w:val="20"/>
          <w:szCs w:val="20"/>
          <w:lang w:val="hy-AM"/>
        </w:rPr>
        <w:t>․</w:t>
      </w:r>
      <w:r w:rsidRPr="006855D9">
        <w:rPr>
          <w:rFonts w:ascii="GHEA Grapalat" w:hAnsi="GHEA Grapalat"/>
          <w:sz w:val="20"/>
          <w:szCs w:val="20"/>
          <w:lang w:val="hy-AM"/>
        </w:rPr>
        <w:t>Ստեփանյան 13, «Կապանի բժշկական կենտրոն»ՓԲԸ /դեղատուն/ հասցեով, աշխատանքային օրերին և աշխատանքային ժամերին՝ 09։</w:t>
      </w:r>
      <w:r w:rsidRPr="006855D9">
        <w:rPr>
          <w:rFonts w:ascii="GHEA Grapalat" w:hAnsi="GHEA Grapalat"/>
          <w:sz w:val="20"/>
          <w:szCs w:val="20"/>
        </w:rPr>
        <w:t>00-17։00։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</w:t>
      </w:r>
      <w:proofErr w:type="spellStart"/>
      <w:r w:rsidRPr="006855D9">
        <w:rPr>
          <w:rFonts w:ascii="GHEA Grapalat" w:hAnsi="GHEA Grapalat"/>
          <w:sz w:val="20"/>
          <w:szCs w:val="20"/>
        </w:rPr>
        <w:t>Բոլոր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դեղերը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պետք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է</w:t>
      </w:r>
      <w:r w:rsidR="00D232DA" w:rsidRPr="006855D9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լինեն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նոր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չօգտագործված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գործարանային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փաթեթավորմամբ</w:t>
      </w:r>
      <w:proofErr w:type="spellEnd"/>
      <w:r w:rsidRPr="006855D9">
        <w:rPr>
          <w:rFonts w:ascii="GHEA Grapalat" w:hAnsi="GHEA Grapalat"/>
          <w:sz w:val="20"/>
          <w:szCs w:val="20"/>
        </w:rPr>
        <w:t>: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**</w:t>
      </w:r>
      <w:proofErr w:type="spellStart"/>
      <w:r w:rsidRPr="006855D9">
        <w:rPr>
          <w:rFonts w:ascii="GHEA Grapalat" w:hAnsi="GHEA Grapalat"/>
          <w:sz w:val="20"/>
          <w:szCs w:val="20"/>
        </w:rPr>
        <w:t>Ծանոթություն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– </w:t>
      </w:r>
      <w:proofErr w:type="spellStart"/>
      <w:r w:rsidRPr="006855D9">
        <w:rPr>
          <w:rFonts w:ascii="GHEA Grapalat" w:hAnsi="GHEA Grapalat"/>
          <w:sz w:val="20"/>
          <w:szCs w:val="20"/>
        </w:rPr>
        <w:t>Եթե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գնման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առարկաների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6855D9">
        <w:rPr>
          <w:rFonts w:ascii="GHEA Grapalat" w:hAnsi="GHEA Grapalat"/>
          <w:sz w:val="20"/>
          <w:szCs w:val="20"/>
        </w:rPr>
        <w:t>հատկանիշները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6855D9">
        <w:rPr>
          <w:rFonts w:ascii="GHEA Grapalat" w:hAnsi="GHEA Grapalat"/>
          <w:sz w:val="20"/>
          <w:szCs w:val="20"/>
        </w:rPr>
        <w:t>պահանջ</w:t>
      </w:r>
      <w:proofErr w:type="spellEnd"/>
      <w:proofErr w:type="gram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կամ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հղում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պարունակեն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որևէ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առևտրային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նշանի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ֆիրմային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անվանմանը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արտոնագրին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էսքիզին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կամ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մոդելին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ծագման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երկրին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կամ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կոնկրետ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աղբյուրին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կամ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արտադրողին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բացառությամբ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այն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դեպքերի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6855D9">
        <w:rPr>
          <w:rFonts w:ascii="GHEA Grapalat" w:hAnsi="GHEA Grapalat"/>
          <w:sz w:val="20"/>
          <w:szCs w:val="20"/>
        </w:rPr>
        <w:t>երբ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անհնար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6855D9">
        <w:rPr>
          <w:rFonts w:ascii="GHEA Grapalat" w:hAnsi="GHEA Grapalat"/>
          <w:sz w:val="20"/>
          <w:szCs w:val="20"/>
        </w:rPr>
        <w:t>գնման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առարկայի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բնութագրումն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առանց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դրանց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Pr="006855D9">
        <w:rPr>
          <w:rFonts w:ascii="GHEA Grapalat" w:hAnsi="GHEA Grapalat"/>
          <w:sz w:val="20"/>
          <w:szCs w:val="20"/>
        </w:rPr>
        <w:t>Հղումներ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օգտագործելու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դեպքում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հատկանիշների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բնութագրում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կարդալ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6855D9">
        <w:rPr>
          <w:rFonts w:ascii="GHEA Grapalat" w:hAnsi="GHEA Grapalat"/>
          <w:sz w:val="20"/>
          <w:szCs w:val="20"/>
        </w:rPr>
        <w:t>կամ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համարժեք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6855D9">
        <w:rPr>
          <w:rFonts w:ascii="GHEA Grapalat" w:hAnsi="GHEA Grapalat"/>
          <w:sz w:val="20"/>
          <w:szCs w:val="20"/>
        </w:rPr>
        <w:t>բառը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:  </w:t>
      </w:r>
      <w:proofErr w:type="spellStart"/>
      <w:r w:rsidRPr="006855D9">
        <w:rPr>
          <w:rFonts w:ascii="GHEA Grapalat" w:hAnsi="GHEA Grapalat"/>
          <w:sz w:val="20"/>
          <w:szCs w:val="20"/>
        </w:rPr>
        <w:t>Համաձայն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6855D9">
        <w:rPr>
          <w:rFonts w:ascii="GHEA Grapalat" w:hAnsi="GHEA Grapalat"/>
          <w:sz w:val="20"/>
          <w:szCs w:val="20"/>
        </w:rPr>
        <w:t>Օրենքի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Հոդված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13, </w:t>
      </w:r>
      <w:proofErr w:type="spellStart"/>
      <w:r w:rsidRPr="006855D9">
        <w:rPr>
          <w:rFonts w:ascii="GHEA Grapalat" w:hAnsi="GHEA Grapalat"/>
          <w:sz w:val="20"/>
          <w:szCs w:val="20"/>
        </w:rPr>
        <w:t>Կետ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5) </w:t>
      </w:r>
    </w:p>
    <w:p w:rsidR="006D04B3" w:rsidRPr="006855D9" w:rsidRDefault="006D04B3" w:rsidP="006D04B3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</w:t>
      </w:r>
      <w:proofErr w:type="spellStart"/>
      <w:r w:rsidRPr="006855D9">
        <w:rPr>
          <w:rFonts w:ascii="GHEA Grapalat" w:hAnsi="GHEA Grapalat"/>
          <w:sz w:val="20"/>
          <w:szCs w:val="20"/>
        </w:rPr>
        <w:t>Հանձնելու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պահին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մնացորդային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պիտանելիության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ժամկետը</w:t>
      </w:r>
      <w:proofErr w:type="spellEnd"/>
    </w:p>
    <w:p w:rsidR="00A96807" w:rsidRPr="006855D9" w:rsidRDefault="00A96807" w:rsidP="00A96807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ա. 2,5 </w:t>
      </w:r>
      <w:proofErr w:type="spellStart"/>
      <w:r w:rsidRPr="006855D9">
        <w:rPr>
          <w:rFonts w:ascii="GHEA Grapalat" w:hAnsi="GHEA Grapalat"/>
          <w:sz w:val="20"/>
          <w:szCs w:val="20"/>
        </w:rPr>
        <w:t>տարի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6855D9">
        <w:rPr>
          <w:rFonts w:ascii="GHEA Grapalat" w:hAnsi="GHEA Grapalat"/>
          <w:sz w:val="20"/>
          <w:szCs w:val="20"/>
        </w:rPr>
        <w:t>ավելի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պիտանիության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ժամկետ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ունեցող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դեղերը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հանձնելու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պահին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պետք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6855D9">
        <w:rPr>
          <w:rFonts w:ascii="GHEA Grapalat" w:hAnsi="GHEA Grapalat"/>
          <w:sz w:val="20"/>
          <w:szCs w:val="20"/>
        </w:rPr>
        <w:t>ունենան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առնվազն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24 </w:t>
      </w:r>
      <w:proofErr w:type="spellStart"/>
      <w:r w:rsidRPr="006855D9">
        <w:rPr>
          <w:rFonts w:ascii="GHEA Grapalat" w:hAnsi="GHEA Grapalat"/>
          <w:sz w:val="20"/>
          <w:szCs w:val="20"/>
        </w:rPr>
        <w:t>ամիս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մնացորդային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պիտանիության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ժամկետ</w:t>
      </w:r>
      <w:proofErr w:type="spellEnd"/>
      <w:r w:rsidRPr="006855D9">
        <w:rPr>
          <w:rFonts w:ascii="GHEA Grapalat" w:hAnsi="GHEA Grapalat"/>
          <w:sz w:val="20"/>
          <w:szCs w:val="20"/>
        </w:rPr>
        <w:t>,</w:t>
      </w:r>
    </w:p>
    <w:p w:rsidR="00A96807" w:rsidRPr="006855D9" w:rsidRDefault="00A96807" w:rsidP="00A96807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բ. </w:t>
      </w:r>
      <w:proofErr w:type="spellStart"/>
      <w:r w:rsidRPr="006855D9">
        <w:rPr>
          <w:rFonts w:ascii="GHEA Grapalat" w:hAnsi="GHEA Grapalat"/>
          <w:sz w:val="20"/>
          <w:szCs w:val="20"/>
        </w:rPr>
        <w:t>մինչև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2,5 </w:t>
      </w:r>
      <w:proofErr w:type="spellStart"/>
      <w:r w:rsidRPr="006855D9">
        <w:rPr>
          <w:rFonts w:ascii="GHEA Grapalat" w:hAnsi="GHEA Grapalat"/>
          <w:sz w:val="20"/>
          <w:szCs w:val="20"/>
        </w:rPr>
        <w:t>տարի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պիտանիության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ժամկետ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ունեցող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դեղերը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հանձնելու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պահին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պետք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6855D9">
        <w:rPr>
          <w:rFonts w:ascii="GHEA Grapalat" w:hAnsi="GHEA Grapalat"/>
          <w:sz w:val="20"/>
          <w:szCs w:val="20"/>
        </w:rPr>
        <w:t>ունենան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առնվազն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12 </w:t>
      </w:r>
      <w:proofErr w:type="spellStart"/>
      <w:r w:rsidRPr="006855D9">
        <w:rPr>
          <w:rFonts w:ascii="GHEA Grapalat" w:hAnsi="GHEA Grapalat"/>
          <w:sz w:val="20"/>
          <w:szCs w:val="20"/>
        </w:rPr>
        <w:t>ամիս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մնացորդային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պիտանիության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ժամկետ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, </w:t>
      </w:r>
    </w:p>
    <w:p w:rsidR="006D04B3" w:rsidRPr="006855D9" w:rsidRDefault="006D04B3" w:rsidP="00A96807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* </w:t>
      </w:r>
      <w:proofErr w:type="spellStart"/>
      <w:r w:rsidRPr="006855D9">
        <w:rPr>
          <w:rFonts w:ascii="GHEA Grapalat" w:hAnsi="GHEA Grapalat"/>
          <w:sz w:val="20"/>
          <w:szCs w:val="20"/>
        </w:rPr>
        <w:t>Որակի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սերտիֆիկատների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6855D9">
        <w:rPr>
          <w:rFonts w:ascii="GHEA Grapalat" w:hAnsi="GHEA Grapalat"/>
          <w:sz w:val="20"/>
          <w:szCs w:val="20"/>
        </w:rPr>
        <w:t>առկայություն</w:t>
      </w:r>
      <w:proofErr w:type="spellEnd"/>
    </w:p>
    <w:p w:rsidR="006D04B3" w:rsidRPr="006855D9" w:rsidRDefault="006D04B3">
      <w:pPr>
        <w:rPr>
          <w:rFonts w:ascii="GHEA Grapalat" w:hAnsi="GHEA Grapalat"/>
          <w:sz w:val="20"/>
          <w:szCs w:val="20"/>
        </w:rPr>
      </w:pPr>
    </w:p>
    <w:tbl>
      <w:tblPr>
        <w:tblW w:w="15545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990"/>
        <w:gridCol w:w="36"/>
        <w:gridCol w:w="1484"/>
        <w:gridCol w:w="1990"/>
        <w:gridCol w:w="2790"/>
        <w:gridCol w:w="1038"/>
        <w:gridCol w:w="1026"/>
        <w:gridCol w:w="1026"/>
        <w:gridCol w:w="1924"/>
        <w:gridCol w:w="1227"/>
        <w:gridCol w:w="1895"/>
        <w:gridCol w:w="119"/>
      </w:tblGrid>
      <w:tr w:rsidR="00501AA4" w:rsidRPr="006855D9" w:rsidTr="00C32BF7">
        <w:trPr>
          <w:trHeight w:val="356"/>
        </w:trPr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1AA4" w:rsidRPr="006855D9" w:rsidRDefault="00501AA4" w:rsidP="00F00803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51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7C3B2C" w:rsidRDefault="00501AA4" w:rsidP="00C32BF7">
            <w:pPr>
              <w:widowControl w:val="0"/>
              <w:jc w:val="center"/>
              <w:rPr>
                <w:rFonts w:ascii="GHEA Grapalat" w:eastAsia="Times New Roman" w:hAnsi="GHEA Grapalat" w:cs="Calibri"/>
                <w:b/>
                <w:color w:val="000000"/>
                <w:sz w:val="20"/>
                <w:szCs w:val="20"/>
                <w:lang w:val="hy-AM" w:eastAsia="ru-RU"/>
              </w:rPr>
            </w:pPr>
            <w:r w:rsidRPr="006855D9">
              <w:rPr>
                <w:rFonts w:ascii="GHEA Grapalat" w:hAnsi="GHEA Grapalat"/>
                <w:sz w:val="20"/>
                <w:szCs w:val="20"/>
              </w:rPr>
              <w:t>ТЕХНИЧЕСКАЯ ХАРАКТЕРИСТИКА-ГРАФИК ЗАКУПКИ</w:t>
            </w:r>
            <w:r w:rsidRPr="006855D9">
              <w:rPr>
                <w:rStyle w:val="a5"/>
                <w:rFonts w:ascii="GHEA Grapalat" w:hAnsi="GHEA Grapalat"/>
                <w:sz w:val="20"/>
                <w:szCs w:val="20"/>
              </w:rPr>
              <w:footnoteReference w:customMarkFollows="1" w:id="1"/>
              <w:t>*</w:t>
            </w:r>
          </w:p>
        </w:tc>
      </w:tr>
      <w:tr w:rsidR="00501AA4" w:rsidRPr="006855D9" w:rsidTr="00501AA4">
        <w:trPr>
          <w:gridAfter w:val="1"/>
          <w:wAfter w:w="119" w:type="dxa"/>
          <w:trHeight w:val="31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1AA4" w:rsidRPr="006855D9" w:rsidRDefault="00501AA4" w:rsidP="00106F9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</w:p>
        </w:tc>
      </w:tr>
      <w:tr w:rsidR="00501AA4" w:rsidRPr="006855D9" w:rsidTr="00501AA4">
        <w:trPr>
          <w:trHeight w:val="300"/>
        </w:trPr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A4" w:rsidRPr="006855D9" w:rsidRDefault="00501AA4" w:rsidP="00106F96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5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AA4" w:rsidRPr="006855D9" w:rsidRDefault="00501AA4" w:rsidP="00106F9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hAnsi="GHEA Grapalat"/>
                <w:sz w:val="20"/>
                <w:szCs w:val="20"/>
              </w:rPr>
              <w:t>Товар</w:t>
            </w:r>
          </w:p>
        </w:tc>
      </w:tr>
      <w:tr w:rsidR="00546D43" w:rsidRPr="006855D9" w:rsidTr="00980AC6">
        <w:trPr>
          <w:gridAfter w:val="1"/>
          <w:wAfter w:w="119" w:type="dxa"/>
          <w:trHeight w:val="300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 xml:space="preserve">номер предусмотренного </w:t>
            </w:r>
            <w:r w:rsidRPr="006855D9">
              <w:rPr>
                <w:rFonts w:ascii="GHEA Grapalat" w:hAnsi="GHEA Grapalat"/>
                <w:spacing w:val="-6"/>
                <w:sz w:val="14"/>
                <w:szCs w:val="20"/>
              </w:rPr>
              <w:t>приглашением</w:t>
            </w:r>
            <w:r w:rsidRPr="006855D9">
              <w:rPr>
                <w:rFonts w:ascii="GHEA Grapalat" w:hAnsi="GHEA Grapalat"/>
                <w:sz w:val="14"/>
                <w:szCs w:val="20"/>
              </w:rPr>
              <w:t xml:space="preserve"> лота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ind w:right="513"/>
              <w:jc w:val="center"/>
              <w:rPr>
                <w:rFonts w:ascii="GHEA Grapalat" w:hAnsi="GHEA Grapalat"/>
                <w:sz w:val="14"/>
                <w:szCs w:val="20"/>
                <w:lang w:val="en-US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 xml:space="preserve">наименование 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20"/>
                <w:lang w:eastAsia="ru-RU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>техническая характеристика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>единица измерения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D43" w:rsidRPr="006855D9" w:rsidRDefault="00546D43" w:rsidP="00F00803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546D43">
              <w:rPr>
                <w:rFonts w:ascii="GHEA Grapalat" w:hAnsi="GHEA Grapalat"/>
                <w:sz w:val="14"/>
                <w:szCs w:val="20"/>
              </w:rPr>
              <w:t>цена единицы/</w:t>
            </w:r>
            <w:proofErr w:type="spellStart"/>
            <w:r w:rsidRPr="00546D43">
              <w:rPr>
                <w:rFonts w:ascii="GHEA Grapalat" w:hAnsi="GHEA Grapalat"/>
                <w:sz w:val="14"/>
                <w:szCs w:val="20"/>
              </w:rPr>
              <w:t>драмов</w:t>
            </w:r>
            <w:proofErr w:type="spellEnd"/>
            <w:r w:rsidRPr="00546D43">
              <w:rPr>
                <w:rFonts w:ascii="GHEA Grapalat" w:hAnsi="GHEA Grapalat"/>
                <w:sz w:val="14"/>
                <w:szCs w:val="20"/>
              </w:rPr>
              <w:t xml:space="preserve"> РА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20"/>
                <w:lang w:eastAsia="ru-RU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>общий объем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jc w:val="center"/>
              <w:rPr>
                <w:rFonts w:ascii="GHEA Grapalat" w:hAnsi="GHEA Grapalat"/>
                <w:sz w:val="14"/>
                <w:szCs w:val="20"/>
              </w:rPr>
            </w:pPr>
            <w:r w:rsidRPr="006855D9">
              <w:rPr>
                <w:rFonts w:ascii="GHEA Grapalat" w:hAnsi="GHEA Grapalat"/>
                <w:sz w:val="14"/>
                <w:szCs w:val="20"/>
              </w:rPr>
              <w:t>поставки</w:t>
            </w:r>
          </w:p>
        </w:tc>
      </w:tr>
      <w:tr w:rsidR="00546D43" w:rsidRPr="006855D9" w:rsidTr="00980AC6">
        <w:trPr>
          <w:gridAfter w:val="1"/>
          <w:wAfter w:w="119" w:type="dxa"/>
          <w:trHeight w:val="1108"/>
        </w:trPr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D43" w:rsidRPr="006855D9" w:rsidRDefault="00546D43" w:rsidP="00F0080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6855D9">
              <w:rPr>
                <w:rFonts w:ascii="GHEA Grapalat" w:hAnsi="GHEA Grapalat"/>
                <w:sz w:val="16"/>
                <w:szCs w:val="20"/>
              </w:rPr>
              <w:t>адрес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20"/>
              </w:rPr>
            </w:pPr>
            <w:r w:rsidRPr="006855D9">
              <w:rPr>
                <w:rFonts w:ascii="GHEA Grapalat" w:hAnsi="GHEA Grapalat"/>
                <w:sz w:val="16"/>
                <w:szCs w:val="20"/>
              </w:rPr>
              <w:t>подлежащее поставке количество товара</w:t>
            </w: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D43" w:rsidRPr="006855D9" w:rsidRDefault="00546D43" w:rsidP="00F00803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20"/>
                <w:lang w:val="en-US"/>
              </w:rPr>
            </w:pPr>
            <w:r w:rsidRPr="006855D9">
              <w:rPr>
                <w:rFonts w:ascii="GHEA Grapalat" w:hAnsi="GHEA Grapalat"/>
                <w:sz w:val="16"/>
                <w:szCs w:val="20"/>
              </w:rPr>
              <w:t>срок</w:t>
            </w:r>
            <w:r w:rsidRPr="006855D9">
              <w:rPr>
                <w:rStyle w:val="a5"/>
                <w:rFonts w:ascii="GHEA Grapalat" w:hAnsi="GHEA Grapalat"/>
                <w:sz w:val="16"/>
                <w:szCs w:val="20"/>
              </w:rPr>
              <w:footnoteReference w:customMarkFollows="1" w:id="2"/>
              <w:t>***</w:t>
            </w:r>
          </w:p>
        </w:tc>
      </w:tr>
      <w:tr w:rsidR="00F7419D" w:rsidRPr="006855D9" w:rsidTr="00501AA4">
        <w:trPr>
          <w:gridAfter w:val="1"/>
          <w:wAfter w:w="119" w:type="dxa"/>
          <w:trHeight w:val="100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05C17">
              <w:rPr>
                <w:rFonts w:ascii="GHEA Grapalat" w:hAnsi="GHEA Grapalat" w:cs="Calibri"/>
                <w:color w:val="000000"/>
                <w:sz w:val="20"/>
                <w:szCs w:val="20"/>
              </w:rPr>
              <w:t>33651125/1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азитромицина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моногидрат) 250 мг; таблетки, покрытые пленочной оболочкой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19D" w:rsidRPr="006855D9" w:rsidRDefault="00F7419D" w:rsidP="00F741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Поставка осуществляется поставщиком по адресу ПАО «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Капанский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медицинский центр», РА,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Сюникский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марз</w:t>
            </w:r>
            <w:proofErr w:type="spellEnd"/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, г. Капан, ул. М. Степаняна, 13.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19D" w:rsidRPr="006855D9" w:rsidRDefault="00F7419D" w:rsidP="00F741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  <w:t>Согласно приказу</w:t>
            </w:r>
          </w:p>
        </w:tc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19D" w:rsidRPr="006855D9" w:rsidRDefault="00F7419D" w:rsidP="00F741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Поставка продукции будет осуществляться в 2024 году с даты подписания контракта до 30.12.2024 и через 20 календарных дней после даты подписания контракта для этапа 1 / если поставщик не согласен на поставку.</w:t>
            </w:r>
          </w:p>
          <w:p w:rsidR="00F7419D" w:rsidRPr="006855D9" w:rsidRDefault="00F7419D" w:rsidP="00F741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>скорее/, в случае других этапов:</w:t>
            </w:r>
          </w:p>
          <w:p w:rsidR="00F7419D" w:rsidRPr="006855D9" w:rsidRDefault="00F7419D" w:rsidP="00F7419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каждый раз в течение 5 </w:t>
            </w:r>
            <w:r w:rsidRPr="006855D9"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рабочих дней после получения заказа от Заказчика</w:t>
            </w:r>
          </w:p>
        </w:tc>
      </w:tr>
      <w:tr w:rsidR="00F7419D" w:rsidRPr="006855D9" w:rsidTr="00501AA4">
        <w:trPr>
          <w:gridAfter w:val="1"/>
          <w:wAfter w:w="119" w:type="dxa"/>
          <w:trHeight w:val="81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48642B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B05C17">
              <w:rPr>
                <w:rFonts w:ascii="GHEA Grapalat" w:hAnsi="GHEA Grapalat" w:cs="Calibri"/>
                <w:sz w:val="20"/>
                <w:szCs w:val="20"/>
              </w:rPr>
              <w:t>33651125/2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азитромицина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моногидрат) 500 мг таблетки, покрытые пленочной оболочкой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7419D" w:rsidRPr="006855D9" w:rsidTr="002C06C7">
        <w:trPr>
          <w:gridAfter w:val="1"/>
          <w:wAfter w:w="119" w:type="dxa"/>
          <w:trHeight w:val="154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33691500/1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транексамовая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кислота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транексамовая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кислота 50 мг/мл; ампулы по 5 мл; раствор для внутривенного капельного введения*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501AA4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800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7419D" w:rsidRPr="006855D9" w:rsidTr="00501AA4">
        <w:trPr>
          <w:gridAfter w:val="1"/>
          <w:wAfter w:w="119" w:type="dxa"/>
          <w:trHeight w:val="21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33691144/1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тиосульфат натрия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тиосульфат натрия, раствор для инъекций, 300 мг/мл; ампулы 5 мл*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501AA4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7419D" w:rsidRPr="006855D9" w:rsidTr="00501AA4">
        <w:trPr>
          <w:gridAfter w:val="1"/>
          <w:wAfter w:w="119" w:type="dxa"/>
          <w:trHeight w:val="55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33621380/2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дигоксин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дигоксин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0,025% ампула 1 мл*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7419D" w:rsidRPr="006855D9" w:rsidTr="00501AA4">
        <w:trPr>
          <w:gridAfter w:val="1"/>
          <w:wAfter w:w="119" w:type="dxa"/>
          <w:trHeight w:val="54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419D">
              <w:rPr>
                <w:rFonts w:ascii="GHEA Grapalat" w:hAnsi="GHEA Grapalat" w:cs="Calibri"/>
                <w:sz w:val="20"/>
                <w:szCs w:val="20"/>
              </w:rPr>
              <w:t>33661183/1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цисатракурий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безилат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цисатракурия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цисатракурий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безилат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цисатракурия</w:t>
            </w:r>
            <w:proofErr w:type="spellEnd"/>
            <w:r w:rsidRPr="006855D9">
              <w:rPr>
                <w:rFonts w:ascii="GHEA Grapalat" w:hAnsi="GHEA Grapalat" w:cs="Calibri"/>
                <w:color w:val="000000"/>
                <w:sz w:val="20"/>
                <w:szCs w:val="20"/>
              </w:rPr>
              <w:t>) 2 мг/мл; (5) стеклянные флаконы по 2,5 мл, раствор для инъекций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855D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19D" w:rsidRPr="00501AA4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1100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19D" w:rsidRPr="006855D9" w:rsidRDefault="00F7419D" w:rsidP="00F7419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19D" w:rsidRPr="006855D9" w:rsidRDefault="00F7419D" w:rsidP="00F7419D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2056E" w:rsidRPr="006855D9" w:rsidRDefault="00A16AA3" w:rsidP="00B2056E">
      <w:pPr>
        <w:pStyle w:val="a6"/>
        <w:numPr>
          <w:ilvl w:val="0"/>
          <w:numId w:val="3"/>
        </w:numPr>
        <w:rPr>
          <w:rFonts w:ascii="GHEA Grapalat" w:hAnsi="GHEA Grapalat"/>
          <w:sz w:val="20"/>
          <w:szCs w:val="20"/>
          <w:highlight w:val="cyan"/>
        </w:rPr>
      </w:pPr>
      <w:r w:rsidRPr="006855D9">
        <w:rPr>
          <w:rFonts w:ascii="GHEA Grapalat" w:hAnsi="GHEA Grapalat"/>
          <w:sz w:val="20"/>
          <w:szCs w:val="20"/>
          <w:highlight w:val="cyan"/>
        </w:rPr>
        <w:lastRenderedPageBreak/>
        <w:t xml:space="preserve">для лота </w:t>
      </w:r>
      <w:proofErr w:type="gramStart"/>
      <w:r w:rsidRPr="006855D9">
        <w:rPr>
          <w:rFonts w:ascii="GHEA Grapalat" w:hAnsi="GHEA Grapalat"/>
          <w:sz w:val="20"/>
          <w:szCs w:val="20"/>
          <w:highlight w:val="cyan"/>
        </w:rPr>
        <w:t>№  3</w:t>
      </w:r>
      <w:proofErr w:type="gramEnd"/>
      <w:r w:rsidRPr="006855D9">
        <w:rPr>
          <w:rFonts w:ascii="GHEA Grapalat" w:hAnsi="GHEA Grapalat"/>
          <w:sz w:val="20"/>
          <w:szCs w:val="20"/>
          <w:highlight w:val="cyan"/>
        </w:rPr>
        <w:t xml:space="preserve"> ; 4 и  5 </w:t>
      </w:r>
      <w:r w:rsidR="00B2056E" w:rsidRPr="006855D9">
        <w:rPr>
          <w:rFonts w:ascii="GHEA Grapalat" w:hAnsi="GHEA Grapalat"/>
          <w:sz w:val="20"/>
          <w:szCs w:val="20"/>
          <w:highlight w:val="cyan"/>
        </w:rPr>
        <w:t xml:space="preserve"> могут быть предъявлены незарегистрированные лекарственные средства также  согласно постановлению Правительства Республики Армения от 02.05.2013. Согласно условиям пункта 2.3 Приложения к Решению № 502-Н (в случае импортного сертификата).</w:t>
      </w:r>
    </w:p>
    <w:p w:rsidR="009979A2" w:rsidRPr="006855D9" w:rsidRDefault="00B2056E" w:rsidP="00B2056E">
      <w:pPr>
        <w:pStyle w:val="a6"/>
        <w:numPr>
          <w:ilvl w:val="0"/>
          <w:numId w:val="3"/>
        </w:numPr>
        <w:rPr>
          <w:rFonts w:ascii="GHEA Grapalat" w:hAnsi="GHEA Grapalat"/>
          <w:sz w:val="20"/>
          <w:szCs w:val="20"/>
          <w:highlight w:val="yellow"/>
        </w:rPr>
      </w:pPr>
      <w:r w:rsidRPr="006855D9">
        <w:rPr>
          <w:rFonts w:ascii="GHEA Grapalat" w:hAnsi="GHEA Grapalat"/>
          <w:sz w:val="20"/>
          <w:szCs w:val="20"/>
          <w:highlight w:val="yellow"/>
        </w:rPr>
        <w:t xml:space="preserve">Для лотов </w:t>
      </w:r>
      <w:proofErr w:type="gramStart"/>
      <w:r w:rsidRPr="006855D9">
        <w:rPr>
          <w:rFonts w:ascii="GHEA Grapalat" w:hAnsi="GHEA Grapalat"/>
          <w:sz w:val="20"/>
          <w:szCs w:val="20"/>
          <w:highlight w:val="yellow"/>
        </w:rPr>
        <w:t>№</w:t>
      </w:r>
      <w:r w:rsidR="00A16AA3" w:rsidRPr="006855D9">
        <w:rPr>
          <w:rFonts w:ascii="GHEA Grapalat" w:hAnsi="GHEA Grapalat"/>
          <w:sz w:val="20"/>
          <w:szCs w:val="20"/>
          <w:highlight w:val="yellow"/>
        </w:rPr>
        <w:t xml:space="preserve">  1</w:t>
      </w:r>
      <w:proofErr w:type="gramEnd"/>
      <w:r w:rsidR="00A16AA3" w:rsidRPr="006855D9">
        <w:rPr>
          <w:rFonts w:ascii="GHEA Grapalat" w:hAnsi="GHEA Grapalat"/>
          <w:sz w:val="20"/>
          <w:szCs w:val="20"/>
          <w:highlight w:val="yellow"/>
        </w:rPr>
        <w:t xml:space="preserve">; 2 </w:t>
      </w:r>
      <w:r w:rsidRPr="006855D9">
        <w:rPr>
          <w:rFonts w:ascii="GHEA Grapalat" w:hAnsi="GHEA Grapalat"/>
          <w:sz w:val="20"/>
          <w:szCs w:val="20"/>
          <w:highlight w:val="yellow"/>
        </w:rPr>
        <w:t xml:space="preserve"> и </w:t>
      </w:r>
      <w:r w:rsidR="00A16AA3" w:rsidRPr="006855D9">
        <w:rPr>
          <w:rFonts w:ascii="GHEA Grapalat" w:hAnsi="GHEA Grapalat"/>
          <w:sz w:val="20"/>
          <w:szCs w:val="20"/>
          <w:highlight w:val="yellow"/>
        </w:rPr>
        <w:t>6</w:t>
      </w:r>
      <w:r w:rsidRPr="006855D9">
        <w:rPr>
          <w:rFonts w:ascii="GHEA Grapalat" w:hAnsi="GHEA Grapalat"/>
          <w:sz w:val="20"/>
          <w:szCs w:val="20"/>
          <w:highlight w:val="yellow"/>
        </w:rPr>
        <w:t xml:space="preserve">  представленные препараты </w:t>
      </w:r>
      <w:r w:rsidR="009979A2" w:rsidRPr="006855D9">
        <w:rPr>
          <w:rFonts w:ascii="GHEA Grapalat" w:hAnsi="GHEA Grapalat"/>
          <w:sz w:val="20"/>
          <w:szCs w:val="20"/>
          <w:highlight w:val="yellow"/>
        </w:rPr>
        <w:t>должны быть включены в государственный реестр лекарств, зарегистрированных в Республике Армения (реестр) (представлять только зарегистрированные препараты).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* Если в течение срока действия договора Заказчик предъявил заявку на предмет закупки не на всю партию, то договор считается расторгнутым в отношении </w:t>
      </w:r>
      <w:proofErr w:type="spellStart"/>
      <w:r w:rsidRPr="006855D9">
        <w:rPr>
          <w:rFonts w:ascii="GHEA Grapalat" w:hAnsi="GHEA Grapalat"/>
          <w:sz w:val="20"/>
          <w:szCs w:val="20"/>
        </w:rPr>
        <w:t>непоставленной</w:t>
      </w:r>
      <w:proofErr w:type="spellEnd"/>
      <w:r w:rsidRPr="006855D9">
        <w:rPr>
          <w:rFonts w:ascii="GHEA Grapalat" w:hAnsi="GHEA Grapalat"/>
          <w:sz w:val="20"/>
          <w:szCs w:val="20"/>
        </w:rPr>
        <w:t>, оставшейся партии предмета закупки.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 *Участник, занявший первое место, также должен предоставить информацию о предлагаемом товарном знаке, производителе (наименование организации-производителя), стране происхождения.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*Для всех дозировок необходима информация о торговой марке и производителе (название организации-производителя).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получили удовлетворительную оценку.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*Товары будут доставлены с даты вступления в силу договора в 2024 году до 30.12.2024, каждый раз в течение 5 рабочих дней с момента получения заказа от Покупателя, в зависимости от количества и типа заказанного Покупателем товара/</w:t>
      </w:r>
      <w:proofErr w:type="spellStart"/>
      <w:r w:rsidRPr="006855D9">
        <w:rPr>
          <w:rFonts w:ascii="GHEA Grapalat" w:hAnsi="GHEA Grapalat"/>
          <w:sz w:val="20"/>
          <w:szCs w:val="20"/>
        </w:rPr>
        <w:t>ов</w:t>
      </w:r>
      <w:proofErr w:type="spellEnd"/>
      <w:proofErr w:type="gramStart"/>
      <w:r w:rsidRPr="006855D9">
        <w:rPr>
          <w:rFonts w:ascii="GHEA Grapalat" w:hAnsi="GHEA Grapalat"/>
          <w:sz w:val="20"/>
          <w:szCs w:val="20"/>
        </w:rPr>
        <w:t>. ,</w:t>
      </w:r>
      <w:proofErr w:type="gramEnd"/>
      <w:r w:rsidRPr="006855D9">
        <w:rPr>
          <w:rFonts w:ascii="GHEA Grapalat" w:hAnsi="GHEA Grapalat"/>
          <w:sz w:val="20"/>
          <w:szCs w:val="20"/>
        </w:rPr>
        <w:t xml:space="preserve"> при этом 20 календарных дней для 1-го этапа на день позже /если поставщик не согласен поставить раньше/. Заказ на доставку товара(</w:t>
      </w:r>
      <w:proofErr w:type="spellStart"/>
      <w:r w:rsidRPr="006855D9">
        <w:rPr>
          <w:rFonts w:ascii="GHEA Grapalat" w:hAnsi="GHEA Grapalat"/>
          <w:sz w:val="20"/>
          <w:szCs w:val="20"/>
        </w:rPr>
        <w:t>ов</w:t>
      </w:r>
      <w:proofErr w:type="spellEnd"/>
      <w:r w:rsidRPr="006855D9">
        <w:rPr>
          <w:rFonts w:ascii="GHEA Grapalat" w:hAnsi="GHEA Grapalat"/>
          <w:sz w:val="20"/>
          <w:szCs w:val="20"/>
        </w:rPr>
        <w:t>) оформляется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*Доставка осуществляется поставщиком по адресу ПАО «</w:t>
      </w:r>
      <w:proofErr w:type="spellStart"/>
      <w:r w:rsidRPr="006855D9">
        <w:rPr>
          <w:rFonts w:ascii="GHEA Grapalat" w:hAnsi="GHEA Grapalat"/>
          <w:sz w:val="20"/>
          <w:szCs w:val="20"/>
        </w:rPr>
        <w:t>Капанский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медицинский центр»/аптека, Армения, </w:t>
      </w:r>
      <w:proofErr w:type="spellStart"/>
      <w:r w:rsidRPr="006855D9">
        <w:rPr>
          <w:rFonts w:ascii="GHEA Grapalat" w:hAnsi="GHEA Grapalat"/>
          <w:sz w:val="20"/>
          <w:szCs w:val="20"/>
        </w:rPr>
        <w:t>Сюникская</w:t>
      </w:r>
      <w:proofErr w:type="spellEnd"/>
      <w:r w:rsidRPr="006855D9">
        <w:rPr>
          <w:rFonts w:ascii="GHEA Grapalat" w:hAnsi="GHEA Grapalat"/>
          <w:sz w:val="20"/>
          <w:szCs w:val="20"/>
        </w:rPr>
        <w:t xml:space="preserve"> область, г. Капан, М. Степаняна, 13, в рабочие дни и часы работы: 09:00-17:00.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*Все лекарства должны быть новыми, неиспользованными, в оригинальной упаковке.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**Примечание. Если характеристики приобретаемых товаров содержат претензии или ссылки на какой-либо товарный знак, торговую марку, патент, дизайн или модель, страну происхождения или конкретный </w:t>
      </w:r>
      <w:proofErr w:type="gramStart"/>
      <w:r w:rsidRPr="006855D9">
        <w:rPr>
          <w:rFonts w:ascii="GHEA Grapalat" w:hAnsi="GHEA Grapalat"/>
          <w:sz w:val="20"/>
          <w:szCs w:val="20"/>
        </w:rPr>
        <w:t>источник</w:t>
      </w:r>
      <w:proofErr w:type="gramEnd"/>
      <w:r w:rsidRPr="006855D9">
        <w:rPr>
          <w:rFonts w:ascii="GHEA Grapalat" w:hAnsi="GHEA Grapalat"/>
          <w:sz w:val="20"/>
          <w:szCs w:val="20"/>
        </w:rPr>
        <w:t xml:space="preserve"> или производителя, за исключением случаев, когда без них невозможно описать приобретаемый товар. При использовании ссылок читайте слово «или эквивалент» в описании атрибута. Согласно (ст. 13, п. 5 Закона)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*Оставшийся срок годности на момент доставки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:rsidR="009979A2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t xml:space="preserve"> б. Лекарственные средства со сроком годности до 2,5 лет должны иметь остаточный срок годности не менее 12 месяцев на момент поставки.</w:t>
      </w:r>
    </w:p>
    <w:p w:rsidR="00F00803" w:rsidRPr="006855D9" w:rsidRDefault="009979A2" w:rsidP="009979A2">
      <w:pPr>
        <w:rPr>
          <w:rFonts w:ascii="GHEA Grapalat" w:hAnsi="GHEA Grapalat"/>
          <w:sz w:val="20"/>
          <w:szCs w:val="20"/>
        </w:rPr>
      </w:pPr>
      <w:r w:rsidRPr="006855D9">
        <w:rPr>
          <w:rFonts w:ascii="GHEA Grapalat" w:hAnsi="GHEA Grapalat"/>
          <w:sz w:val="20"/>
          <w:szCs w:val="20"/>
        </w:rPr>
        <w:lastRenderedPageBreak/>
        <w:t>* Наличие сертификатов качества.</w:t>
      </w:r>
    </w:p>
    <w:sectPr w:rsidR="00F00803" w:rsidRPr="006855D9" w:rsidSect="00D232DA">
      <w:pgSz w:w="16838" w:h="11906" w:orient="landscape"/>
      <w:pgMar w:top="850" w:right="1134" w:bottom="63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DDC" w:rsidRDefault="00374DDC" w:rsidP="00F00803">
      <w:pPr>
        <w:spacing w:after="0" w:line="240" w:lineRule="auto"/>
      </w:pPr>
      <w:r>
        <w:separator/>
      </w:r>
    </w:p>
  </w:endnote>
  <w:endnote w:type="continuationSeparator" w:id="0">
    <w:p w:rsidR="00374DDC" w:rsidRDefault="00374DDC" w:rsidP="00F0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DDC" w:rsidRDefault="00374DDC" w:rsidP="00F00803">
      <w:pPr>
        <w:spacing w:after="0" w:line="240" w:lineRule="auto"/>
      </w:pPr>
      <w:r>
        <w:separator/>
      </w:r>
    </w:p>
  </w:footnote>
  <w:footnote w:type="continuationSeparator" w:id="0">
    <w:p w:rsidR="00374DDC" w:rsidRDefault="00374DDC" w:rsidP="00F00803">
      <w:pPr>
        <w:spacing w:after="0" w:line="240" w:lineRule="auto"/>
      </w:pPr>
      <w:r>
        <w:continuationSeparator/>
      </w:r>
    </w:p>
  </w:footnote>
  <w:footnote w:id="1">
    <w:p w:rsidR="00501AA4" w:rsidRPr="00D97342" w:rsidRDefault="00501AA4" w:rsidP="00F00803">
      <w:pPr>
        <w:pStyle w:val="a3"/>
        <w:widowControl w:val="0"/>
        <w:jc w:val="both"/>
        <w:rPr>
          <w:rFonts w:ascii="GHEA Grapalat" w:hAnsi="GHEA Grapalat"/>
          <w:i/>
        </w:rPr>
      </w:pPr>
    </w:p>
  </w:footnote>
  <w:footnote w:id="2">
    <w:p w:rsidR="00546D43" w:rsidRPr="00D97342" w:rsidRDefault="00546D43" w:rsidP="008842CE">
      <w:pPr>
        <w:pStyle w:val="a3"/>
        <w:widowControl w:val="0"/>
        <w:jc w:val="both"/>
        <w:rPr>
          <w:rFonts w:ascii="GHEA Grapalat" w:hAnsi="GHEA Grapalat"/>
          <w:i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A5075"/>
    <w:multiLevelType w:val="hybridMultilevel"/>
    <w:tmpl w:val="34F61380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44EB32CE"/>
    <w:multiLevelType w:val="hybridMultilevel"/>
    <w:tmpl w:val="D248D310"/>
    <w:lvl w:ilvl="0" w:tplc="9B14C8A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C7C0F"/>
    <w:multiLevelType w:val="hybridMultilevel"/>
    <w:tmpl w:val="78305BCE"/>
    <w:lvl w:ilvl="0" w:tplc="041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6ADB12D9"/>
    <w:multiLevelType w:val="hybridMultilevel"/>
    <w:tmpl w:val="3FDA0D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DE1"/>
    <w:rsid w:val="000E58D8"/>
    <w:rsid w:val="00111F78"/>
    <w:rsid w:val="00263EB4"/>
    <w:rsid w:val="002C06C7"/>
    <w:rsid w:val="00374DDC"/>
    <w:rsid w:val="003F348E"/>
    <w:rsid w:val="003F3DE1"/>
    <w:rsid w:val="0046353D"/>
    <w:rsid w:val="0048642B"/>
    <w:rsid w:val="00501AA4"/>
    <w:rsid w:val="00546D43"/>
    <w:rsid w:val="00586D55"/>
    <w:rsid w:val="005F108D"/>
    <w:rsid w:val="006855D9"/>
    <w:rsid w:val="006D04B3"/>
    <w:rsid w:val="007102B1"/>
    <w:rsid w:val="007C3B2C"/>
    <w:rsid w:val="008263BA"/>
    <w:rsid w:val="008805EF"/>
    <w:rsid w:val="008830F3"/>
    <w:rsid w:val="00930E06"/>
    <w:rsid w:val="009979A2"/>
    <w:rsid w:val="00A16AA3"/>
    <w:rsid w:val="00A47067"/>
    <w:rsid w:val="00A751CB"/>
    <w:rsid w:val="00A96807"/>
    <w:rsid w:val="00B05C17"/>
    <w:rsid w:val="00B2056E"/>
    <w:rsid w:val="00B76B75"/>
    <w:rsid w:val="00C32BF7"/>
    <w:rsid w:val="00CB61FF"/>
    <w:rsid w:val="00D232DA"/>
    <w:rsid w:val="00D335A8"/>
    <w:rsid w:val="00DB0DFE"/>
    <w:rsid w:val="00DB374F"/>
    <w:rsid w:val="00F00803"/>
    <w:rsid w:val="00F7419D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B77C"/>
  <w15:chartTrackingRefBased/>
  <w15:docId w15:val="{75F21EC8-381A-43F4-93CA-D98A099F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008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semiHidden/>
    <w:rsid w:val="00F00803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5">
    <w:name w:val="footnote reference"/>
    <w:semiHidden/>
    <w:rsid w:val="00F00803"/>
    <w:rPr>
      <w:vertAlign w:val="superscript"/>
    </w:rPr>
  </w:style>
  <w:style w:type="paragraph" w:styleId="a6">
    <w:name w:val="List Paragraph"/>
    <w:basedOn w:val="a"/>
    <w:uiPriority w:val="34"/>
    <w:qFormat/>
    <w:rsid w:val="00A751C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2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05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27</cp:revision>
  <cp:lastPrinted>2024-09-06T11:39:00Z</cp:lastPrinted>
  <dcterms:created xsi:type="dcterms:W3CDTF">2024-07-09T07:32:00Z</dcterms:created>
  <dcterms:modified xsi:type="dcterms:W3CDTF">2024-09-09T06:42:00Z</dcterms:modified>
</cp:coreProperties>
</file>