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2024.09.11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ОНКО «Озеленение и охрана окружающей среды»</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ул.Павстоса Бузанда 1/3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KSHMP-EAAPDzB-24/53 для нужд ОНКО “Озеленение и охрана окружающей среды”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Нвард Авагян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gnumner.kanach@yerevan.am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+374 11 514 745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ОНКО «Озеленение и охрана окружающей среды»</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KSHMP-EAAPDzB-24/53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2024.09.11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KSHMP-EAAPDzB-24/53 для нужд ОНКО “Озеленение и охрана окружающей среды”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KSHMP-EAAPDzB-24/53 для нужд ОНКО “Озеленение и охрана окружающей среды”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ОНКО «Озеленение и охрана окружающей среды»</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KSHMP-EAAPDzB-24/53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gnumner.kanach@yerevan.am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KSHMP-EAAPDzB-24/53 для нужд ОНКО “Озеленение и охрана окружающей среды”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униформа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427.49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2024.09.24.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KSHMP-EAAPDzB-24/53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KSHMP-EAAPDzB-24/53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KSHMP-EAAPDzB-24/53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KSHMP-EAAPDzB-24/53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ОНКО «Озеленение и охрана окружающей среды»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"KSHMP-EAAPDzB-24/53"*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ОНКО «Озеленение и охрана окружающей среды»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KSHMP-EAAPDzB-24/53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"KSHMP-EAAPDzB-24/53"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KSHMP-EAAPDzB-24/53*.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KSHMP-EAAPDzB-24/53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"KSHMP-EAAPDzB-24/53"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KSHMP-EAAPDzB-24/53*.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KSHMP-EAAPDzB-24/53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KSHMP-EAAPDzB-24/53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зимней униформы состоит из зимней куртки со съемным капюшоном, зимних брюк, защитной спецобуви и зимних перчаток на меховой подкладке.
Зимняя куртка и брюки должны быть изготовлены из полиэфирной хлопковой маслостойкой (МВО) ткани. Состав ткани: 40% хлопок, 60% полиэстер, поверхностная плотность - 245 г/м². Число нитей на 10 см по основе должно быть 430±5, по средней нити 175±5, разрывная нагрузка ткани размером 50 х 200 мм по базе должна быть не менее 2000Н, по средняя нить не менее 500Н, индекс маслостойкости/маслоотталкивания ткани в первоначальном виде должен составлять 5 баллов, а показатель не должен меняться после 5 стирок. Изменение линейных размеров швейного изделия после мокрой обработки по основе должно быть не более -3,5%, по среднему волокну ±2,5%.
Цветовая комбинация наряда — зеленая (HEX-код цвета: #343B29) в сочетании с желтым (HEX-код цвета: #FFCC00).
Модель куртки прямого силуэта, пояс внизу с резиновой манжетой. Длина на 15-20 см ниже талии, с воротником-стойкой, вешалкой на воротнике и биркой с пометкой о размере ассортимента. В передней и задней части куртки в качестве утепляющей вставки размещен синтепон плотностью 300 г/м2, который покрыт черной шелковой подкладкой диагонального переплетения типа пахлава, а в рукавах - синтепон плотностью 200 г/м2. Синтепон также покрыт диагональным переплетением, напоминающим пахлаву, с черной шелковой подкладкой. Поверхностная плотность шелковой подкладки должна быть не менее 60-65 г/м2.
Рукава имеют резиновую манжету шириной 5 см на запястье. Куртка застегивается на нейлоновую цепочку под ветрозащитной планкой. Защитный клапан крепится спереди с помощью 4-5 пар никелированных кнопок.
В нижней части куртки имеются 2 внутренних кармана, входная часть которых оформлена узкими желтыми полосками, в середине которых размещены нейлоновые цепочки. Также куртка имеет 1 – 2 накладных объемных кармана в области груди. Нагрудные карманы закрываются клапанами, причем клапаны состоят из 2 штук, верхняя часть зеленая, внутренняя желтая, на 1-2 мм шире верхней части. Створка обработана прямо с одной стороны и наклонена с другой. Накладные карманы на груди куртки прошиты двойной строчкой, а клапаны имеют желтые уплотнения, предотвращающие загрязнение карманов при открытии. Нагрудные карманы закрываются клеевыми клапанами.
На груди куртки, а также на рукавах размещены светоотражающие полосы шириной 5 см.
Основа светоотражающих лент – 30% хлопок и 70% полиэстер. Коэффициент светоотражения светоотражающих лент после 40 циклов стирки при температуре 600С не должен быть менее 470 кд/лк.м2.
Все украшения куртки должны быть прошиты двойной строчкой на машине двойного стежка. На спине куртки высококачественной печатной краской или вышивкой вышито аббревиатура названия ОНКО, а на сукне на левом нагрудном кармане вышит логотип мэрии Еревана, для сохранения симметричности куртки. изображения.
Капюшон состоит из трёх частей: средняя жёлтая и две боковые зелёные. Капюшон отделен от куртки цепочкой, а застегивание осуществляется двумя парами липких лент длиной 7 см, пришитыми крест-накрест друг к другу. На внутренней стороне куртки на расстоянии 15 см от низа пришита нейлоновая информационная этикетка, на которой указана информация/гарантия производителя, размер изделия, краткое описание изделия и инструкции по уходу.
Брюки прямого кроя; С внутренней стороны в качестве нагревательной вставки установлен синтепон плотностью 100-150 г/м2, который ультразвуковым способом соединен с черной шелковой подкладкой. Поверхностная плотность шелковой подкладки должна быть не менее 60-65 г/м2. Брюки имеют 2 боковых внутренних кармана спереди и 1 – 2 накладных объемных кармана в области колен. Покрой входа боковых внутренних карманов диагональный, входная часть которого связана узкими полосками желтого цвета. Раневые карманы закрывают лоскутами, причем лоскуты изготавливают из 2 штук, из которых верхняя часть зеленого цвета, а внутренняя желтая, шириной сверху 1-2 мм. Прорезные карманы прошиты двойной строчкой, а клапаны имеют желтые уплотнители, предотвращающие загрязнение карманов при открытии. Карманы закрываются на кнопки.
Ремень брюк шириной 4 см имеет 5 петель для крепления ремня. Передняя часть застегивается на нейлоновую цепочку и пуговицу. В поясе брюк имеется резинка шириной 3,5-4 см, из резины в виде шиболета, предназначенная для регулировки размера брюк. Светоотражающие ленты шириной 5 см расположены под коленями брюк. Основа светоотражающих лент - 30% хлопок и 70% полиэстер. Коэффициент светоотражения светоотражающих лент после 40 циклов стирки при температуре 60С0 не должен быть менее 470 кд/лк.м2.
Все швы брюк должны быть прострочены двойной строчкой на машине двойного стежка.
Обувь должна соответствовать требованиям стандарта EN 20345 с уровнем защиты S3. Обувь состоит из передней части стопы, нижней части шипов, верхней части шипов, язычка и подошвы. Передняя часть обуви, нижние части лодыжек и язычок должны быть сшиты из натуральной черной кожи толщиной 1,9 – 2,1 мм. Верхнюю часть щелей необходимо сшить из светло-серой кожи или качественного светло-серого кожзаменителя, состоящего из двух участков, из которых высота верхнего участка составляет 3 см, а высота средней части нижнего U. -образное сечение 6,5 см. Внутри светло-серой кожаной секции должна быть губчатая вставка. Язычок обуви по бокам обработан дополнительными закрытыми клапанами, предназначенными для предотвращения попадания грязи. Общая высота обуви должна составлять 15 см, а высота каблука – 10,5 см. На ножках 5 рядов металлических быстросъемных крючков, привязка осуществляется двухцветными шнурками. Подошва обуви должна быть изготовлена из двухслойного полиуретана, при этом верхний слой подошвы должен быть серого цвета, а нижний – черного. Обувь должна иметь металлический подносок, предназначенный для защиты пальцев ног от ударов энергией до 200 Джоулей, и гибкую металлическую стельку, предназначенную для защиты пальцев ног от острых, режущих предметов. Внутренняя часть обуви выполнена из перфорированной ткани оранжевого цвета. Обувь должна быть произведена не ранее 2024 года. На внешнюю часть язычка обуви нашито черное полотно из искусственной замши, на котором напечатано сокращение названия ОНКО
Зимняя перчатка с меховой вставкой должна соответствовать требованиям стандарта ТР ТС 019/2011. Перчатка изготовлена из воловьей кожи толщиной 0,8 мм с накладками из плотной хлопчатобумажной ткани. Внутренняя подкладка перчатки полностью изготовлена из искусственного меха. Для удобства работы краевая часть дужки перчатки обработана эластичной резиновой манжетой. Спилок защищает от механических воздействий, устойчив к стирке и разрыву.
Организация-поставщик перед поставкой представляет один комплект образцов на согласование Заказчику для согласования внешнего вида. Утвержденный образец является частью контрактного количества и подлежит вводу при подаче последней партии.
Поставляемая продукция должна быть новой, на каждую поставляемую партию, при необходимости, по требованию Заказчика организация-поставщик должна за свой счет предоставить заключение лабораторных испытаний, выданное организацией, аккредитованной в РА и/или ЕАЭС, на предмет соответствия требованиям технические характеристики всей продукции.
Упаковка производится в прозрачные полиэтиленовые пакеты. Мешки имеют этикетки, на которых указан размер. Размер и количество заранее согласовывается с заказчиком
Поставляемый товар должен быть новым, неиспользованным. Транспортировка и погрузка-разгрузка товара осуществляется поставщиком за свой счет.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KSHMP-EAAPDzB-24/53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KSHMP-EAAPDzB-24/53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KSHMP-EAAPDzB-24/53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KSHMP-EAAPDzB-24/53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