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светодиодных светильников и электроприборов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ԱՄԱՀ-ԷԱՃԱՊՁԲ-24/37</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светодиодных светильников и электроприборов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светодиодных светильников и электроприборов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ԱՄԱՀ-ԷԱՃԱՊՁԲ-24/37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светодиодных светильников и электроприборов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4.31</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ԱՄԱՀ-ԷԱՃԱՊՁԲ-24/37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ԱՄԱՀ-ԷԱՃԱՊՁԲ-24/37"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ՀՀ ԱՄԱՀ-ԷԱՃԱՊՁԲ-24/37*.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ԱՄԱՀ-ԷԱՃԱՊՁԲ-24/37"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ՀՀ ԱՄԱՀ-ԷԱՃԱՊՁԲ-24/37*.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ԱՄԱՀ-ԷԱՃԱՊՁԲ-24/37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размеры Стоимость:
Мощность                                                                                                                                                                      до 60 Вт-Вт
Расчетная светоотдача                                                                                                                                           ≥ 7000 лм-лм
Рабочее напряжение                                                                                                                                            175 - 265 В-В
Рабочая частота                                                                                                                                                            50 Гц-Гц
Рабочая температура                                                                                                                                               - 40 + 50°С
Защита от внешних атмосферных воздействий
(IP) для полного светильника                                                                                                                                           67
Коэффициент мощности                                                                                                                                                0,9
Долговечность, не менее                                                                                                                                50 000 часов 
Взаимосвязанная цветовая температура                                                                                             5000-6500Kelvin-Kl
Коэффициент передачи цвета                                                                                                                                  »=70
Защита от пикового напряжения, не менее                                                                                                            
Защита от механических воздействий                                                                                                                 
Оптическая защита
Иранский материал                                                                                                                                     Сплав алюминия
Регулируемая вертикальная регулировка                                                                                                       светильника
Диаметр муфты                                                                                                                                                             до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размеры Стоимость:
Мощность                                                                                                                                                                      60  Wt-Вт
цветовая температура                                                                                             6000Kelvin-Kl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или аналог.
Сила тока: 16А
Напряжение питания: 220-250  V
Частота: 50-60  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или аналог.
Сила тока: 40-63А
Напряжение питания: 200-250  V
Частота: 50-60  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МИП 4     2*10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МИП 4          2*16 мм2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