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2024 թվականի կարիքների համար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էթանոլ-5 %, իզոպրոպիլ սպիրտ-10%, իզոբուտիլ սպիրտ-10%,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Պատվիրատուների կողմից ներկայացված քանակներն առավելագույնն է և այն կարող է նվազեցվել վերջիններիս կողմից: Վճարումը կատարվում է փաստացի մատակարարված ապրանքի մասով: 
Մատակարարումը համայնքի կողմից մշակված կտրոնային սիստեմով։ Կտրոնները պետք է գործածական լինեն 2024-2025թթ.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տրանսպորտային միջոցների ներքին այրման շարժիչներում որպես վառելիք օգտագործելու համար: Գլամոթի լիցքավորման ընթացքում բնական գազի ավելցուկ ճնշումը պետք է համապատասխանի ԱԳԼՃԿ-ի և լիցքավորվող գազագլանոթային միջոցների տեխնիկական պայմաններին և չպետք է գերազանցի 1,2 ՄՊա ճնշման սահմանը, գլանոթ լիցքավորվող գազի ջերմաստիճանից ոչ ավել քան  15°C: Պայմանական նշանները՝ «Վախենում է կրակից»: Անվտանգությունը՝ հրավտանգ, պայթունավտանգ։ Գազի լիցքավորումը՝ Աբովյան համայնքի վարչական տարածքում գտնվող գազալցակայանների միջոցով։ Մատակարարման պայմաններ՝ մատակարարումը կտրոններով։  Կտրոնները պետք է գործածական լինեն 2024-2025թթ.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 կողմերի միջև կնքվող պայմանագրով սահմանված ժամկետում, ըստ պատվիրատուի պահանջի, բայց ոչ ուշ, քան տվյալ տարվա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 կողմերի միջև կնքվող պայմանագրով սահմանված ժամկետում, ըստ պատվիրատուի պահանջի, բայց ոչ ուշ, քան տվյալ տարվա դեկտեմբերի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