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Приобретения бензина регулярного типа для нужд Инспекционного органа градостроительствa,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Приобретения бензина регулярного типа для нужд Инспекционного органа градостроительствa,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Приобретения бензина регулярного типа для нужд Инспекционного органа градостроительствa,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Приобретения бензина регулярного типа для нужд Инспекционного органа градостроительствa,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ՎԱՔՏ-ԷԱՃԱՊՁԲ-25/2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ՎԱՔՏ-ԷԱՃԱՊՁԲ-25/2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испытания: не менее 91, двигатель не менее 81, давление насыщенного пара бензина от 45 до 100 кПа, содержание свинца не более 5 мг / дм, объемный объем Не более 1%, Плотность при 150 ° С - 720-775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спирт-7%, простые эфиры (C5 и выше) -15%, другие окислители -10%, безопасные Технический регламент Таможенного союза «О требованиях к автомобильному и авиационному бензину, дизельному топливу и топливу для судов, топливу и мазуту для реактивных двигателей» (ТР ТС 013/2011), утвержденный Решением Комиссии Таможенного союза от 18 октября 2011 года N 826. Доставка: купон.
• Наличие сертификата качества продукции обязательно
• Купоны должны быть действительны в течение не менее 12 месяцев после даты доставки и должны быть доставлены по адресу: В Ереване (не менее 10 АЗС),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