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ՎԱԲՏ-ԷԱՃԱՊՁԲ-25/7 ծածկագրով բենզինի և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ՎԱԲՏ-ԷԱՃԱՊՁԲ-25/7 ծածկագրով բենզինի և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ՎԱԲՏ-ԷԱՃԱՊՁԲ-25/7 ծածկագրով բենզինի և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ՎԱԲՏ-ԷԱՃԱՊՁԲ-25/7 ծածկագրով բենզինի և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ՎԱԲՏ-ԷԱՃԱՊՁԲ-25/7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ՎԱԲՏ-ԷԱՃԱՊՁԲ-25/7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ՎԱԲՏ-ԷԱՃԱՊՁԲ-25/7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ՎԱԲՏ-ԷԱՃԱՊՁԲ-25/7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ըստ ՄՄ ՏԿ 013/2011 Մաքսային միության տեխնիկական կանոնակարգի։ Մատակարարումը կտրոնային:
•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Անվտանգությունը, մակնշումը և փաթեթավորումը՝ ըստ Մաքսային միության հանձնաժողովի 2011 թվականի հոկտեմբերի 18-ի թիվ 826 վորոշմամբ հաստատված ՄՄ ՏԿ 013/2011 կանոնակարգի ««ավտոմոբիլային և այլ տեսակի տրանսպորտային միջոցների համար նախատեսված վառելիքին ներկայացվող պահանջների մասին»»: Մատակարարումը` կտրոնային: Անհրաժեշտ է, որպեսզի տրամադրված կտրոնների սպասարկման համար ապահովված լինի լիցքավորման կայանների առկայությունը ՀՀ բոլոր մարզերում և ք. Երևանում: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 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